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4332" w14:textId="5C43E774" w:rsidR="00D70D1C" w:rsidRPr="00D70D1C" w:rsidRDefault="00E86D6B" w:rsidP="00D70D1C">
      <w:pPr>
        <w:pStyle w:val="NoSpacing"/>
        <w:rPr>
          <w:rFonts w:ascii="Arial" w:hAnsi="Arial" w:cs="Arial"/>
          <w:color w:val="002855"/>
          <w:sz w:val="72"/>
          <w:szCs w:val="72"/>
          <w:lang w:val="nb-NO"/>
        </w:rPr>
      </w:pPr>
      <w:r>
        <w:rPr>
          <w:rFonts w:ascii="Arial" w:hAnsi="Arial" w:cs="Arial"/>
          <w:color w:val="002855"/>
          <w:sz w:val="72"/>
          <w:szCs w:val="72"/>
          <w:lang w:val="nb-NO"/>
        </w:rPr>
        <w:t>LEBRIKIZUMAB</w:t>
      </w:r>
      <w:r w:rsidR="00BD6105">
        <w:rPr>
          <w:rFonts w:ascii="Arial" w:hAnsi="Arial" w:cs="Arial"/>
          <w:color w:val="002855"/>
          <w:sz w:val="72"/>
          <w:szCs w:val="72"/>
          <w:lang w:val="nb-NO"/>
        </w:rPr>
        <w:t xml:space="preserve"> </w:t>
      </w:r>
      <w:bookmarkStart w:id="0" w:name="_Hlk155684203"/>
      <w:r w:rsidR="00BD6105" w:rsidRPr="003B5AA1">
        <w:rPr>
          <w:rFonts w:ascii="Arial" w:hAnsi="Arial" w:cs="Arial"/>
          <w:sz w:val="56"/>
          <w:szCs w:val="56"/>
          <w:lang w:val="nb-NO"/>
        </w:rPr>
        <w:t>▼</w:t>
      </w:r>
      <w:bookmarkEnd w:id="0"/>
    </w:p>
    <w:p w14:paraId="5AD69F6B" w14:textId="2F4D4C66" w:rsidR="00D70D1C" w:rsidRPr="00D70D1C" w:rsidRDefault="00E86D6B" w:rsidP="00D70D1C">
      <w:pPr>
        <w:pStyle w:val="NoSpacing"/>
        <w:rPr>
          <w:rFonts w:ascii="Arial" w:hAnsi="Arial" w:cs="Arial"/>
          <w:color w:val="00BEA0"/>
          <w:sz w:val="52"/>
          <w:szCs w:val="52"/>
          <w:lang w:val="nb-NO"/>
        </w:rPr>
      </w:pPr>
      <w:r>
        <w:rPr>
          <w:rFonts w:ascii="Arial" w:hAnsi="Arial" w:cs="Arial"/>
          <w:color w:val="00BEA0"/>
          <w:sz w:val="52"/>
          <w:szCs w:val="52"/>
          <w:lang w:val="nb-NO"/>
        </w:rPr>
        <w:t xml:space="preserve">EBGLYSS </w:t>
      </w:r>
      <w:r w:rsidR="00D70D1C" w:rsidRPr="00D70D1C">
        <w:rPr>
          <w:rFonts w:ascii="Arial" w:hAnsi="Arial" w:cs="Arial"/>
          <w:color w:val="00BEA0"/>
          <w:sz w:val="52"/>
          <w:szCs w:val="52"/>
          <w:lang w:val="nb-NO"/>
        </w:rPr>
        <w:t>®</w:t>
      </w:r>
    </w:p>
    <w:p w14:paraId="76AEA5EF" w14:textId="11D598AA" w:rsidR="00D70D1C" w:rsidRPr="00D70D1C" w:rsidRDefault="00E86D6B" w:rsidP="00ED0875">
      <w:pPr>
        <w:pStyle w:val="NoSpacing"/>
        <w:rPr>
          <w:rFonts w:ascii="Arial" w:hAnsi="Arial" w:cs="Arial"/>
          <w:color w:val="002855"/>
          <w:sz w:val="28"/>
          <w:szCs w:val="28"/>
          <w:lang w:val="nb-NO"/>
        </w:rPr>
      </w:pPr>
      <w:r>
        <w:rPr>
          <w:rFonts w:ascii="Arial" w:hAnsi="Arial" w:cs="Arial"/>
          <w:color w:val="002855"/>
          <w:sz w:val="28"/>
          <w:szCs w:val="28"/>
          <w:lang w:val="nb-NO"/>
        </w:rPr>
        <w:t>LEBRIKIZUMAB</w:t>
      </w:r>
      <w:r w:rsidR="00D70D1C" w:rsidRPr="00D70D1C">
        <w:rPr>
          <w:rFonts w:ascii="Arial" w:hAnsi="Arial" w:cs="Arial"/>
          <w:color w:val="002855"/>
          <w:sz w:val="28"/>
          <w:szCs w:val="28"/>
          <w:lang w:val="nb-NO"/>
        </w:rPr>
        <w:t xml:space="preserve"> </w:t>
      </w:r>
      <w:r w:rsidR="00BC340F">
        <w:rPr>
          <w:rFonts w:ascii="Arial" w:hAnsi="Arial" w:cs="Arial"/>
          <w:color w:val="002855"/>
          <w:sz w:val="28"/>
          <w:szCs w:val="28"/>
          <w:lang w:val="nb-NO"/>
        </w:rPr>
        <w:t>(</w:t>
      </w:r>
      <w:r>
        <w:rPr>
          <w:rFonts w:ascii="Arial" w:hAnsi="Arial" w:cs="Arial"/>
          <w:color w:val="002855"/>
          <w:sz w:val="28"/>
          <w:szCs w:val="28"/>
          <w:lang w:val="nb-NO"/>
        </w:rPr>
        <w:t>EBGLYSS</w:t>
      </w:r>
      <w:r w:rsidR="00BC340F">
        <w:rPr>
          <w:rFonts w:ascii="Arial" w:hAnsi="Arial" w:cs="Arial"/>
          <w:color w:val="002855"/>
          <w:sz w:val="28"/>
          <w:szCs w:val="28"/>
          <w:lang w:val="nb-NO"/>
        </w:rPr>
        <w:t xml:space="preserve"> ®) </w:t>
      </w:r>
      <w:r w:rsidR="00ED0875" w:rsidRPr="00ED0875">
        <w:rPr>
          <w:rFonts w:ascii="Arial" w:hAnsi="Arial" w:cs="Arial"/>
          <w:color w:val="002855"/>
          <w:sz w:val="28"/>
          <w:szCs w:val="28"/>
          <w:lang w:val="nb-NO"/>
        </w:rPr>
        <w:t>is indicated for the treatment of moderate-to-severe atopic dermatitis in adults and adolescents</w:t>
      </w:r>
      <w:r w:rsidR="00ED0875">
        <w:rPr>
          <w:rFonts w:ascii="Arial" w:hAnsi="Arial" w:cs="Arial"/>
          <w:color w:val="002855"/>
          <w:sz w:val="28"/>
          <w:szCs w:val="28"/>
          <w:lang w:val="nb-NO"/>
        </w:rPr>
        <w:t xml:space="preserve"> </w:t>
      </w:r>
      <w:r w:rsidR="00276C7B">
        <w:rPr>
          <w:rFonts w:ascii="Arial" w:hAnsi="Arial" w:cs="Arial"/>
          <w:color w:val="002855"/>
          <w:sz w:val="28"/>
          <w:szCs w:val="28"/>
          <w:lang w:val="nb-NO"/>
        </w:rPr>
        <w:t xml:space="preserve">of </w:t>
      </w:r>
      <w:r w:rsidR="00ED0875" w:rsidRPr="00ED0875">
        <w:rPr>
          <w:rFonts w:ascii="Arial" w:hAnsi="Arial" w:cs="Arial"/>
          <w:color w:val="002855"/>
          <w:sz w:val="28"/>
          <w:szCs w:val="28"/>
          <w:lang w:val="nb-NO"/>
        </w:rPr>
        <w:t xml:space="preserve">12 years </w:t>
      </w:r>
      <w:r w:rsidR="00A152DA">
        <w:rPr>
          <w:rFonts w:ascii="Arial" w:hAnsi="Arial" w:cs="Arial"/>
          <w:color w:val="002855"/>
          <w:sz w:val="28"/>
          <w:szCs w:val="28"/>
          <w:lang w:val="nb-NO"/>
        </w:rPr>
        <w:t>or</w:t>
      </w:r>
      <w:r w:rsidR="00ED0875" w:rsidRPr="00ED0875">
        <w:rPr>
          <w:rFonts w:ascii="Arial" w:hAnsi="Arial" w:cs="Arial"/>
          <w:color w:val="002855"/>
          <w:sz w:val="28"/>
          <w:szCs w:val="28"/>
          <w:lang w:val="nb-NO"/>
        </w:rPr>
        <w:t xml:space="preserve"> older with a body weight of at least 40 kg who are candidates for systemic therapy</w:t>
      </w:r>
      <w:r w:rsidR="004C7518">
        <w:rPr>
          <w:rFonts w:ascii="Arial" w:hAnsi="Arial" w:cs="Arial"/>
          <w:color w:val="002855"/>
          <w:sz w:val="28"/>
          <w:szCs w:val="28"/>
          <w:vertAlign w:val="superscript"/>
          <w:lang w:val="nb-NO"/>
        </w:rPr>
        <w:t>1</w:t>
      </w:r>
    </w:p>
    <w:p w14:paraId="1BB05B9A" w14:textId="77777777" w:rsidR="003A1631" w:rsidRDefault="003A1631" w:rsidP="00D70D1C">
      <w:pPr>
        <w:pStyle w:val="NoSpacing"/>
        <w:rPr>
          <w:rFonts w:ascii="Arial" w:hAnsi="Arial" w:cs="Arial"/>
          <w:b/>
          <w:bCs/>
          <w:color w:val="00BEA0"/>
          <w:lang w:val="nb-NO"/>
        </w:rPr>
      </w:pPr>
    </w:p>
    <w:p w14:paraId="2520A867" w14:textId="2A883D56" w:rsidR="00D70D1C" w:rsidRPr="00D70D1C" w:rsidRDefault="00F3320F" w:rsidP="00D70D1C">
      <w:pPr>
        <w:pStyle w:val="NoSpacing"/>
        <w:rPr>
          <w:rFonts w:ascii="Arial" w:hAnsi="Arial" w:cs="Arial"/>
          <w:b/>
          <w:bCs/>
          <w:color w:val="00BEA0"/>
          <w:lang w:val="nb-NO"/>
        </w:rPr>
      </w:pPr>
      <w:r>
        <w:rPr>
          <w:rFonts w:ascii="Arial" w:hAnsi="Arial" w:cs="Arial"/>
          <w:b/>
          <w:bCs/>
          <w:color w:val="00BEA0"/>
          <w:lang w:val="nb-NO"/>
        </w:rPr>
        <w:t>Dosing</w:t>
      </w:r>
    </w:p>
    <w:p w14:paraId="47EC1994" w14:textId="58BDCA15" w:rsidR="007E0F65" w:rsidRDefault="009F7DFB" w:rsidP="00D43E66">
      <w:pPr>
        <w:pStyle w:val="NoSpacing"/>
        <w:spacing w:after="120"/>
        <w:rPr>
          <w:rFonts w:ascii="Arial" w:hAnsi="Arial" w:cs="Arial"/>
          <w:color w:val="6F6F6F"/>
          <w:lang w:val="nb-NO"/>
        </w:rPr>
      </w:pPr>
      <w:r w:rsidRPr="009F7DFB">
        <w:rPr>
          <w:rFonts w:ascii="Arial" w:hAnsi="Arial" w:cs="Arial"/>
          <w:color w:val="6F6F6F"/>
          <w:lang w:val="nb-NO"/>
        </w:rPr>
        <w:t xml:space="preserve">500 mg (two 250 mg injections) at both week 0 and week 2, followed by 250 mg administered subcutaneously every other week (Q2W) up to week 16 </w:t>
      </w:r>
      <w:r w:rsidR="00D70D1C" w:rsidRPr="00D70D1C">
        <w:rPr>
          <w:rFonts w:ascii="Arial" w:hAnsi="Arial" w:cs="Arial"/>
          <w:color w:val="6F6F6F"/>
          <w:lang w:val="nb-NO"/>
        </w:rPr>
        <w:t>(</w:t>
      </w:r>
      <w:r w:rsidR="00D70D1C" w:rsidRPr="003A1631">
        <w:rPr>
          <w:rFonts w:ascii="Arial" w:hAnsi="Arial" w:cs="Arial"/>
          <w:color w:val="00BEA0"/>
          <w:lang w:val="nb-NO"/>
        </w:rPr>
        <w:t>figur</w:t>
      </w:r>
      <w:r>
        <w:rPr>
          <w:rFonts w:ascii="Arial" w:hAnsi="Arial" w:cs="Arial"/>
          <w:color w:val="00BEA0"/>
          <w:lang w:val="nb-NO"/>
        </w:rPr>
        <w:t>e</w:t>
      </w:r>
      <w:r w:rsidR="00D70D1C" w:rsidRPr="003A1631">
        <w:rPr>
          <w:rFonts w:ascii="Arial" w:hAnsi="Arial" w:cs="Arial"/>
          <w:color w:val="00BEA0"/>
          <w:lang w:val="nb-NO"/>
        </w:rPr>
        <w:t xml:space="preserve"> 1</w:t>
      </w:r>
      <w:r w:rsidR="00653108">
        <w:rPr>
          <w:rFonts w:ascii="Arial" w:hAnsi="Arial" w:cs="Arial"/>
          <w:color w:val="6F6F6F"/>
          <w:lang w:val="nb-NO"/>
        </w:rPr>
        <w:t>)</w:t>
      </w:r>
      <w:r w:rsidR="00565082">
        <w:rPr>
          <w:rFonts w:ascii="Arial" w:hAnsi="Arial" w:cs="Arial"/>
          <w:color w:val="6F6F6F"/>
          <w:lang w:val="nb-NO"/>
        </w:rPr>
        <w:t>.</w:t>
      </w:r>
      <w:r w:rsidR="00653108">
        <w:rPr>
          <w:rFonts w:ascii="Arial" w:hAnsi="Arial" w:cs="Arial"/>
          <w:color w:val="6F6F6F"/>
          <w:vertAlign w:val="superscript"/>
          <w:lang w:val="nb-NO"/>
        </w:rPr>
        <w:t>1</w:t>
      </w:r>
      <w:r w:rsidR="00D70D1C" w:rsidRPr="00D70D1C">
        <w:rPr>
          <w:rFonts w:ascii="Arial" w:hAnsi="Arial" w:cs="Arial"/>
          <w:color w:val="6F6F6F"/>
          <w:lang w:val="nb-NO"/>
        </w:rPr>
        <w:t xml:space="preserve"> </w:t>
      </w:r>
      <w:r w:rsidR="00312179" w:rsidRPr="00312179">
        <w:rPr>
          <w:rFonts w:ascii="Arial" w:hAnsi="Arial" w:cs="Arial"/>
          <w:color w:val="6F6F6F"/>
          <w:lang w:val="nb-NO"/>
        </w:rPr>
        <w:t xml:space="preserve">After week 16, the recommended maintenance dose is 250 mg every four weeks (Q4W) upon achieving response. Consideration should be given to discontinuing treatment in patients who do not respond after 16 weeks, but some patients with partial response may benefit from continued </w:t>
      </w:r>
      <w:r w:rsidR="00276C7B">
        <w:rPr>
          <w:rFonts w:ascii="Arial" w:hAnsi="Arial" w:cs="Arial"/>
          <w:color w:val="6F6F6F"/>
          <w:lang w:val="nb-NO"/>
        </w:rPr>
        <w:t>Q2W</w:t>
      </w:r>
      <w:r w:rsidR="00312179" w:rsidRPr="00312179">
        <w:rPr>
          <w:rFonts w:ascii="Arial" w:hAnsi="Arial" w:cs="Arial"/>
          <w:color w:val="6F6F6F"/>
          <w:lang w:val="nb-NO"/>
        </w:rPr>
        <w:t xml:space="preserve"> treatment up to week 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9"/>
      </w:tblGrid>
      <w:tr w:rsidR="00D70D1C" w14:paraId="10A2C70E" w14:textId="77777777" w:rsidTr="000702D9">
        <w:trPr>
          <w:jc w:val="center"/>
        </w:trPr>
        <w:tc>
          <w:tcPr>
            <w:tcW w:w="9979" w:type="dxa"/>
          </w:tcPr>
          <w:p w14:paraId="13752896" w14:textId="009830B6" w:rsidR="00D70D1C" w:rsidRDefault="00B74333" w:rsidP="00D70D1C">
            <w:pPr>
              <w:pStyle w:val="NoSpacing"/>
              <w:jc w:val="center"/>
              <w:rPr>
                <w:rFonts w:ascii="Arial" w:hAnsi="Arial" w:cs="Arial"/>
                <w:color w:val="6F6F6F"/>
                <w:lang w:val="nb-NO"/>
              </w:rPr>
            </w:pPr>
            <w:r>
              <w:object w:dxaOrig="6640" w:dyaOrig="1810" w14:anchorId="391CF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3.6pt;height:96.3pt" o:ole="">
                  <v:imagedata r:id="rId11" o:title=""/>
                </v:shape>
                <o:OLEObject Type="Embed" ProgID="PBrush" ShapeID="_x0000_i1030" DrawAspect="Content" ObjectID="_1776505355" r:id="rId12"/>
              </w:object>
            </w:r>
          </w:p>
        </w:tc>
      </w:tr>
      <w:tr w:rsidR="00D70D1C" w:rsidRPr="006164C8" w14:paraId="58ABD3AA" w14:textId="77777777" w:rsidTr="000702D9">
        <w:trPr>
          <w:jc w:val="center"/>
        </w:trPr>
        <w:tc>
          <w:tcPr>
            <w:tcW w:w="9979" w:type="dxa"/>
          </w:tcPr>
          <w:p w14:paraId="4FBB1F47" w14:textId="13ADD783" w:rsidR="00D70D1C" w:rsidRPr="003A1631" w:rsidRDefault="00D70D1C" w:rsidP="00033E75">
            <w:pPr>
              <w:pStyle w:val="NoSpacing"/>
              <w:jc w:val="center"/>
              <w:rPr>
                <w:rFonts w:ascii="Arial" w:hAnsi="Arial" w:cs="Arial"/>
                <w:color w:val="00BEA0"/>
                <w:lang w:val="nb-NO"/>
              </w:rPr>
            </w:pPr>
            <w:r w:rsidRPr="0098723F">
              <w:rPr>
                <w:rFonts w:ascii="Arial" w:hAnsi="Arial" w:cs="Arial"/>
                <w:color w:val="00BEA0"/>
                <w:sz w:val="20"/>
                <w:szCs w:val="20"/>
                <w:lang w:val="nb-NO"/>
              </w:rPr>
              <w:t>Figur</w:t>
            </w:r>
            <w:r w:rsidR="00312179">
              <w:rPr>
                <w:rFonts w:ascii="Arial" w:hAnsi="Arial" w:cs="Arial"/>
                <w:color w:val="00BEA0"/>
                <w:sz w:val="20"/>
                <w:szCs w:val="20"/>
                <w:lang w:val="nb-NO"/>
              </w:rPr>
              <w:t>e</w:t>
            </w:r>
            <w:r w:rsidRPr="0098723F">
              <w:rPr>
                <w:rFonts w:ascii="Arial" w:hAnsi="Arial" w:cs="Arial"/>
                <w:color w:val="00BEA0"/>
                <w:sz w:val="20"/>
                <w:szCs w:val="20"/>
                <w:lang w:val="nb-NO"/>
              </w:rPr>
              <w:t xml:space="preserve"> 1</w:t>
            </w:r>
            <w:r w:rsidR="0098723F" w:rsidRPr="0098723F">
              <w:rPr>
                <w:rFonts w:ascii="Arial" w:hAnsi="Arial" w:cs="Arial"/>
                <w:color w:val="00BEA0"/>
                <w:sz w:val="20"/>
                <w:szCs w:val="20"/>
                <w:lang w:val="nb-NO"/>
              </w:rPr>
              <w:t>.</w:t>
            </w:r>
            <w:r w:rsidRPr="0098723F">
              <w:rPr>
                <w:rFonts w:ascii="Arial" w:hAnsi="Arial" w:cs="Arial"/>
                <w:color w:val="00BEA0"/>
                <w:sz w:val="20"/>
                <w:szCs w:val="20"/>
                <w:lang w:val="nb-NO"/>
              </w:rPr>
              <w:t xml:space="preserve"> </w:t>
            </w:r>
            <w:r w:rsidR="00312179">
              <w:rPr>
                <w:rFonts w:ascii="Arial" w:hAnsi="Arial" w:cs="Arial"/>
                <w:color w:val="00BEA0"/>
                <w:sz w:val="20"/>
                <w:szCs w:val="20"/>
                <w:lang w:val="nb-NO"/>
              </w:rPr>
              <w:t>Recommended</w:t>
            </w:r>
            <w:r w:rsidRPr="0098723F">
              <w:rPr>
                <w:rFonts w:ascii="Arial" w:hAnsi="Arial" w:cs="Arial"/>
                <w:color w:val="00BEA0"/>
                <w:sz w:val="20"/>
                <w:szCs w:val="20"/>
                <w:lang w:val="nb-NO"/>
              </w:rPr>
              <w:t xml:space="preserve"> </w:t>
            </w:r>
            <w:r w:rsidR="00C37472" w:rsidRPr="0098723F">
              <w:rPr>
                <w:rFonts w:ascii="Arial" w:hAnsi="Arial" w:cs="Arial"/>
                <w:color w:val="00BEA0"/>
                <w:sz w:val="20"/>
                <w:szCs w:val="20"/>
                <w:lang w:val="nb-NO"/>
              </w:rPr>
              <w:t>dos</w:t>
            </w:r>
            <w:r w:rsidR="00312179">
              <w:rPr>
                <w:rFonts w:ascii="Arial" w:hAnsi="Arial" w:cs="Arial"/>
                <w:color w:val="00BEA0"/>
                <w:sz w:val="20"/>
                <w:szCs w:val="20"/>
                <w:lang w:val="nb-NO"/>
              </w:rPr>
              <w:t>ing of</w:t>
            </w:r>
            <w:r w:rsidRPr="0098723F">
              <w:rPr>
                <w:rFonts w:ascii="Arial" w:hAnsi="Arial" w:cs="Arial"/>
                <w:color w:val="00BEA0"/>
                <w:sz w:val="20"/>
                <w:szCs w:val="20"/>
                <w:lang w:val="nb-NO"/>
              </w:rPr>
              <w:t xml:space="preserve"> </w:t>
            </w:r>
            <w:r w:rsidR="00E86D6B">
              <w:rPr>
                <w:rFonts w:ascii="Arial" w:hAnsi="Arial" w:cs="Arial"/>
                <w:color w:val="00BEA0"/>
                <w:sz w:val="20"/>
                <w:szCs w:val="20"/>
                <w:lang w:val="nb-NO"/>
              </w:rPr>
              <w:t>LEBRIKIZUMAB</w:t>
            </w:r>
            <w:r w:rsidRPr="0098723F">
              <w:rPr>
                <w:rFonts w:ascii="Arial" w:hAnsi="Arial" w:cs="Arial"/>
                <w:color w:val="00BEA0"/>
                <w:sz w:val="20"/>
                <w:szCs w:val="20"/>
                <w:lang w:val="nb-NO"/>
              </w:rPr>
              <w:t>.</w:t>
            </w:r>
          </w:p>
        </w:tc>
      </w:tr>
    </w:tbl>
    <w:p w14:paraId="6BEA69D4" w14:textId="681807A5" w:rsidR="00D70D1C" w:rsidRPr="00D70D1C" w:rsidRDefault="000702D9" w:rsidP="00D43E66">
      <w:pPr>
        <w:pStyle w:val="NoSpacing"/>
        <w:spacing w:before="120"/>
        <w:rPr>
          <w:rFonts w:ascii="Arial" w:hAnsi="Arial" w:cs="Arial"/>
          <w:b/>
          <w:bCs/>
          <w:color w:val="00BEA0"/>
          <w:lang w:val="nb-NO"/>
        </w:rPr>
      </w:pPr>
      <w:r w:rsidRPr="000702D9">
        <w:rPr>
          <w:rFonts w:ascii="Arial" w:hAnsi="Arial" w:cs="Arial"/>
          <w:b/>
          <w:bCs/>
          <w:color w:val="00BEA0"/>
          <w:lang w:val="nb-NO"/>
        </w:rPr>
        <w:t>Mechanism of Action</w:t>
      </w:r>
    </w:p>
    <w:p w14:paraId="12D9A3A3" w14:textId="095276F6" w:rsidR="00860860" w:rsidRPr="00860860" w:rsidRDefault="004100D0" w:rsidP="00860860">
      <w:pPr>
        <w:pStyle w:val="NoSpacing"/>
        <w:rPr>
          <w:rFonts w:ascii="Arial" w:hAnsi="Arial" w:cs="Arial"/>
          <w:color w:val="6F6F6F"/>
          <w:lang w:val="nb-NO"/>
        </w:rPr>
      </w:pPr>
      <w:r w:rsidRPr="004100D0">
        <w:rPr>
          <w:rFonts w:ascii="Arial" w:hAnsi="Arial" w:cs="Arial"/>
          <w:color w:val="6F6F6F"/>
          <w:lang w:val="nb-NO"/>
        </w:rPr>
        <w:t>Interleukin-13 (IL-13) is a pro-inflammatory cytokine in the skin and plays a central role in the pathophysiology of atopic dermatitis (AD)</w:t>
      </w:r>
      <w:r>
        <w:rPr>
          <w:rFonts w:ascii="Arial" w:hAnsi="Arial" w:cs="Arial"/>
          <w:color w:val="6F6F6F"/>
          <w:lang w:val="nb-NO"/>
        </w:rPr>
        <w:t>.</w:t>
      </w:r>
      <w:r w:rsidR="00E757E8">
        <w:rPr>
          <w:rFonts w:ascii="Arial" w:hAnsi="Arial" w:cs="Arial"/>
          <w:color w:val="6F6F6F"/>
          <w:vertAlign w:val="superscript"/>
          <w:lang w:val="nb-NO"/>
        </w:rPr>
        <w:t>2</w:t>
      </w:r>
      <w:r w:rsidR="00860860" w:rsidRPr="00860860">
        <w:rPr>
          <w:rFonts w:ascii="Arial" w:hAnsi="Arial" w:cs="Arial"/>
          <w:color w:val="6F6F6F"/>
          <w:lang w:val="nb-NO"/>
        </w:rPr>
        <w:t xml:space="preserve"> </w:t>
      </w:r>
      <w:r w:rsidR="00A77032" w:rsidRPr="00A77032">
        <w:rPr>
          <w:rFonts w:ascii="Arial" w:hAnsi="Arial" w:cs="Arial"/>
          <w:color w:val="6F6F6F"/>
          <w:lang w:val="nb-NO"/>
        </w:rPr>
        <w:t>Research indicates that IL-13 levels are elevated in skin biopsies from AD patients, both in lesional and non-lesional skin</w:t>
      </w:r>
      <w:r w:rsidR="00A77032">
        <w:rPr>
          <w:rFonts w:ascii="Arial" w:hAnsi="Arial" w:cs="Arial"/>
          <w:color w:val="6F6F6F"/>
          <w:lang w:val="nb-NO"/>
        </w:rPr>
        <w:t>.</w:t>
      </w:r>
      <w:r w:rsidR="00CE77AE" w:rsidRPr="00CE77AE">
        <w:rPr>
          <w:rFonts w:ascii="Arial" w:hAnsi="Arial" w:cs="Arial"/>
          <w:color w:val="6F6F6F"/>
          <w:vertAlign w:val="superscript"/>
          <w:lang w:val="nb-NO"/>
        </w:rPr>
        <w:t>3</w:t>
      </w:r>
      <w:r w:rsidR="00860860" w:rsidRPr="00860860">
        <w:rPr>
          <w:rFonts w:ascii="Arial" w:hAnsi="Arial" w:cs="Arial"/>
          <w:color w:val="6F6F6F"/>
          <w:lang w:val="nb-NO"/>
        </w:rPr>
        <w:t xml:space="preserve"> </w:t>
      </w:r>
      <w:r w:rsidR="000C310E" w:rsidRPr="000C310E">
        <w:rPr>
          <w:rFonts w:ascii="Arial" w:hAnsi="Arial" w:cs="Arial"/>
          <w:color w:val="6F6F6F"/>
          <w:lang w:val="nb-NO"/>
        </w:rPr>
        <w:t>These levels correlate with the severity and chronicity of AD, and IL-13 has been detected in skin biopsies from early childhood to adulthood in AD patients</w:t>
      </w:r>
      <w:r w:rsidR="00565082">
        <w:rPr>
          <w:rFonts w:ascii="Arial" w:hAnsi="Arial" w:cs="Arial"/>
          <w:color w:val="6F6F6F"/>
          <w:lang w:val="nb-NO"/>
        </w:rPr>
        <w:t>.</w:t>
      </w:r>
      <w:r w:rsidR="009B1F69">
        <w:rPr>
          <w:rFonts w:ascii="Arial" w:hAnsi="Arial" w:cs="Arial"/>
          <w:color w:val="6F6F6F"/>
          <w:vertAlign w:val="superscript"/>
          <w:lang w:val="nb-NO"/>
        </w:rPr>
        <w:t>5,6</w:t>
      </w:r>
    </w:p>
    <w:p w14:paraId="4CBD9948" w14:textId="77777777" w:rsidR="00B06C17" w:rsidRDefault="00B06C17" w:rsidP="00860860">
      <w:pPr>
        <w:pStyle w:val="NoSpacing"/>
        <w:rPr>
          <w:rFonts w:ascii="Arial" w:hAnsi="Arial" w:cs="Arial"/>
          <w:color w:val="6F6F6F"/>
          <w:lang w:val="nb-NO"/>
        </w:rPr>
      </w:pPr>
    </w:p>
    <w:p w14:paraId="4C691B54" w14:textId="3BF17007" w:rsidR="00186FA5" w:rsidRDefault="00E86D6B" w:rsidP="00D43E66">
      <w:pPr>
        <w:pStyle w:val="NoSpacing"/>
        <w:spacing w:after="120"/>
        <w:rPr>
          <w:rFonts w:ascii="Arial" w:hAnsi="Arial" w:cs="Arial"/>
          <w:color w:val="6F6F6F"/>
          <w:lang w:val="nb-NO"/>
        </w:rPr>
      </w:pPr>
      <w:r>
        <w:rPr>
          <w:rFonts w:ascii="Arial" w:hAnsi="Arial" w:cs="Arial"/>
          <w:color w:val="6F6F6F"/>
          <w:lang w:val="nb-NO"/>
        </w:rPr>
        <w:t>LEBRIKIZUMAB</w:t>
      </w:r>
      <w:r w:rsidR="00860860" w:rsidRPr="00860860">
        <w:rPr>
          <w:rFonts w:ascii="Arial" w:hAnsi="Arial" w:cs="Arial"/>
          <w:color w:val="6F6F6F"/>
          <w:lang w:val="nb-NO"/>
        </w:rPr>
        <w:t xml:space="preserve"> </w:t>
      </w:r>
      <w:r w:rsidR="00083408" w:rsidRPr="00083408">
        <w:rPr>
          <w:rFonts w:ascii="Arial" w:hAnsi="Arial" w:cs="Arial"/>
          <w:color w:val="6F6F6F"/>
          <w:lang w:val="nb-NO"/>
        </w:rPr>
        <w:t>is an antibody that binds with high affinity to</w:t>
      </w:r>
      <w:r w:rsidR="00083408">
        <w:rPr>
          <w:rFonts w:ascii="Arial" w:hAnsi="Arial" w:cs="Arial"/>
          <w:color w:val="6F6F6F"/>
          <w:lang w:val="nb-NO"/>
        </w:rPr>
        <w:t xml:space="preserve"> </w:t>
      </w:r>
      <w:r w:rsidR="00860860" w:rsidRPr="00860860">
        <w:rPr>
          <w:rFonts w:ascii="Arial" w:hAnsi="Arial" w:cs="Arial"/>
          <w:color w:val="6F6F6F"/>
          <w:lang w:val="nb-NO"/>
        </w:rPr>
        <w:t>IL-13</w:t>
      </w:r>
      <w:r w:rsidR="005B167C">
        <w:rPr>
          <w:rFonts w:ascii="Arial" w:hAnsi="Arial" w:cs="Arial"/>
          <w:color w:val="6F6F6F"/>
          <w:lang w:val="nb-NO"/>
        </w:rPr>
        <w:t>,</w:t>
      </w:r>
      <w:r w:rsidR="00534838">
        <w:rPr>
          <w:rFonts w:ascii="Arial" w:hAnsi="Arial" w:cs="Arial"/>
          <w:color w:val="6F6F6F"/>
          <w:vertAlign w:val="superscript"/>
          <w:lang w:val="nb-NO"/>
        </w:rPr>
        <w:t>7</w:t>
      </w:r>
      <w:r w:rsidR="00860860" w:rsidRPr="00860860">
        <w:rPr>
          <w:rFonts w:ascii="Arial" w:hAnsi="Arial" w:cs="Arial"/>
          <w:color w:val="6F6F6F"/>
          <w:lang w:val="nb-NO"/>
        </w:rPr>
        <w:t xml:space="preserve"> </w:t>
      </w:r>
      <w:r w:rsidR="00DE2724" w:rsidRPr="00DE2724">
        <w:rPr>
          <w:rFonts w:ascii="Arial" w:hAnsi="Arial" w:cs="Arial"/>
          <w:color w:val="6F6F6F"/>
          <w:lang w:val="nb-NO"/>
        </w:rPr>
        <w:t>and selectively inhibits IL-13 signaling through the IL</w:t>
      </w:r>
      <w:r w:rsidR="00DE2724" w:rsidRPr="00DE2724">
        <w:rPr>
          <w:rFonts w:ascii="Cambria Math" w:hAnsi="Cambria Math" w:cs="Cambria Math"/>
          <w:color w:val="6F6F6F"/>
          <w:lang w:val="nb-NO"/>
        </w:rPr>
        <w:t>‐</w:t>
      </w:r>
      <w:r w:rsidR="00DE2724" w:rsidRPr="00DE2724">
        <w:rPr>
          <w:rFonts w:ascii="Arial" w:hAnsi="Arial" w:cs="Arial"/>
          <w:color w:val="6F6F6F"/>
          <w:lang w:val="nb-NO"/>
        </w:rPr>
        <w:t>4Rα/IL</w:t>
      </w:r>
      <w:r w:rsidR="00DE2724" w:rsidRPr="00DE2724">
        <w:rPr>
          <w:rFonts w:ascii="Cambria Math" w:hAnsi="Cambria Math" w:cs="Cambria Math"/>
          <w:color w:val="6F6F6F"/>
          <w:lang w:val="nb-NO"/>
        </w:rPr>
        <w:t>‐</w:t>
      </w:r>
      <w:r w:rsidR="00DE2724" w:rsidRPr="00DE2724">
        <w:rPr>
          <w:rFonts w:ascii="Arial" w:hAnsi="Arial" w:cs="Arial"/>
          <w:color w:val="6F6F6F"/>
          <w:lang w:val="nb-NO"/>
        </w:rPr>
        <w:t xml:space="preserve">13Rα1 receptor complex, while IL-4 signaling remains unaffected </w:t>
      </w:r>
      <w:r w:rsidR="00860860" w:rsidRPr="00860860">
        <w:rPr>
          <w:rFonts w:ascii="Arial" w:hAnsi="Arial" w:cs="Arial"/>
          <w:color w:val="6F6F6F"/>
          <w:lang w:val="nb-NO"/>
        </w:rPr>
        <w:t>(</w:t>
      </w:r>
      <w:r w:rsidR="00860860" w:rsidRPr="003A1631">
        <w:rPr>
          <w:rFonts w:ascii="Arial" w:hAnsi="Arial" w:cs="Arial"/>
          <w:color w:val="00BEA0"/>
          <w:lang w:val="nb-NO"/>
        </w:rPr>
        <w:t>figur</w:t>
      </w:r>
      <w:r w:rsidR="00DE2724">
        <w:rPr>
          <w:rFonts w:ascii="Arial" w:hAnsi="Arial" w:cs="Arial"/>
          <w:color w:val="00BEA0"/>
          <w:lang w:val="nb-NO"/>
        </w:rPr>
        <w:t>e</w:t>
      </w:r>
      <w:r w:rsidR="00860860" w:rsidRPr="003A1631">
        <w:rPr>
          <w:rFonts w:ascii="Arial" w:hAnsi="Arial" w:cs="Arial"/>
          <w:color w:val="00BEA0"/>
          <w:lang w:val="nb-NO"/>
        </w:rPr>
        <w:t xml:space="preserve"> 2</w:t>
      </w:r>
      <w:r w:rsidR="004B1DDA" w:rsidRPr="004B1DDA">
        <w:rPr>
          <w:rFonts w:ascii="Arial" w:hAnsi="Arial" w:cs="Arial"/>
          <w:color w:val="6F6F6F"/>
          <w:lang w:val="nb-NO"/>
        </w:rPr>
        <w:t>)</w:t>
      </w:r>
      <w:r w:rsidR="00C8256E">
        <w:rPr>
          <w:rFonts w:ascii="Arial" w:hAnsi="Arial" w:cs="Arial"/>
          <w:color w:val="6F6F6F"/>
          <w:lang w:val="nb-NO"/>
        </w:rPr>
        <w:t>.</w:t>
      </w:r>
      <w:r w:rsidR="004B1DDA">
        <w:rPr>
          <w:rFonts w:ascii="Arial" w:hAnsi="Arial" w:cs="Arial"/>
          <w:color w:val="6F6F6F"/>
          <w:vertAlign w:val="superscript"/>
          <w:lang w:val="nb-NO"/>
        </w:rPr>
        <w:t>7</w:t>
      </w:r>
      <w:r w:rsidR="00742A01">
        <w:rPr>
          <w:rFonts w:ascii="Arial" w:hAnsi="Arial" w:cs="Arial"/>
          <w:color w:val="6F6F6F"/>
          <w:vertAlign w:val="superscript"/>
          <w:lang w:val="nb-NO"/>
        </w:rPr>
        <w:t>-</w:t>
      </w:r>
      <w:r w:rsidR="00B23A09">
        <w:rPr>
          <w:rFonts w:ascii="Arial" w:hAnsi="Arial" w:cs="Arial"/>
          <w:color w:val="6F6F6F"/>
          <w:vertAlign w:val="superscript"/>
          <w:lang w:val="nb-NO"/>
        </w:rPr>
        <w:t>9</w:t>
      </w:r>
      <w:r w:rsidR="00860860" w:rsidRPr="00860860">
        <w:rPr>
          <w:rFonts w:ascii="Arial" w:hAnsi="Arial" w:cs="Arial"/>
          <w:color w:val="6F6F6F"/>
          <w:lang w:val="nb-NO"/>
        </w:rPr>
        <w:t xml:space="preserve"> </w:t>
      </w:r>
      <w:r w:rsidR="00D20598" w:rsidRPr="00D20598">
        <w:rPr>
          <w:rFonts w:ascii="Arial" w:hAnsi="Arial" w:cs="Arial"/>
          <w:color w:val="6F6F6F"/>
          <w:lang w:val="nb-NO"/>
        </w:rPr>
        <w:t xml:space="preserve">IL-13Rα2 receptor acts as a decoy receptor, contributing to regulating IL-13 levels, and </w:t>
      </w:r>
      <w:r>
        <w:rPr>
          <w:rFonts w:ascii="Arial" w:hAnsi="Arial" w:cs="Arial"/>
          <w:color w:val="6F6F6F"/>
          <w:lang w:val="nb-NO"/>
        </w:rPr>
        <w:t>LEBRIKIZUMAB</w:t>
      </w:r>
      <w:r w:rsidR="00D20598" w:rsidRPr="00D20598">
        <w:rPr>
          <w:rFonts w:ascii="Arial" w:hAnsi="Arial" w:cs="Arial"/>
          <w:color w:val="6F6F6F"/>
          <w:lang w:val="nb-NO"/>
        </w:rPr>
        <w:t xml:space="preserve"> does not affect the binding of IL-13 to IL-13Rα2</w:t>
      </w:r>
      <w:r w:rsidR="00742A01">
        <w:rPr>
          <w:rFonts w:ascii="Arial" w:hAnsi="Arial" w:cs="Arial"/>
          <w:color w:val="6F6F6F"/>
          <w:lang w:val="nb-NO"/>
        </w:rPr>
        <w:t>.</w:t>
      </w:r>
      <w:r w:rsidR="00742A01">
        <w:rPr>
          <w:rFonts w:ascii="Arial" w:hAnsi="Arial" w:cs="Arial"/>
          <w:color w:val="6F6F6F"/>
          <w:vertAlign w:val="superscript"/>
          <w:lang w:val="nb-NO"/>
        </w:rPr>
        <w:t>7</w:t>
      </w:r>
    </w:p>
    <w:tbl>
      <w:tblPr>
        <w:tblStyle w:val="TableGrid"/>
        <w:tblW w:w="0" w:type="auto"/>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D70D1C" w14:paraId="4DD8CE35" w14:textId="77777777" w:rsidTr="00500733">
        <w:tc>
          <w:tcPr>
            <w:tcW w:w="9445" w:type="dxa"/>
          </w:tcPr>
          <w:p w14:paraId="0FF1E487" w14:textId="084C7831" w:rsidR="00D70D1C" w:rsidRDefault="00500733" w:rsidP="00D70D1C">
            <w:pPr>
              <w:pStyle w:val="NoSpacing"/>
              <w:rPr>
                <w:rFonts w:ascii="Arial" w:hAnsi="Arial" w:cs="Arial"/>
                <w:color w:val="6F6F6F"/>
                <w:lang w:val="nb-NO"/>
              </w:rPr>
            </w:pPr>
            <w:r>
              <w:object w:dxaOrig="6620" w:dyaOrig="3010" w14:anchorId="5945005C">
                <v:shape id="_x0000_i1034" type="#_x0000_t75" style="width:429.95pt;height:195.5pt" o:ole="">
                  <v:imagedata r:id="rId13" o:title=""/>
                </v:shape>
                <o:OLEObject Type="Embed" ProgID="PBrush" ShapeID="_x0000_i1034" DrawAspect="Content" ObjectID="_1776505356" r:id="rId14"/>
              </w:object>
            </w:r>
          </w:p>
        </w:tc>
      </w:tr>
      <w:tr w:rsidR="00D70D1C" w:rsidRPr="006164C8" w14:paraId="69C4FF3E" w14:textId="77777777" w:rsidTr="00500733">
        <w:tc>
          <w:tcPr>
            <w:tcW w:w="9445" w:type="dxa"/>
          </w:tcPr>
          <w:p w14:paraId="03CA654F" w14:textId="5D7EF6F0" w:rsidR="00D70D1C" w:rsidRDefault="00D70D1C" w:rsidP="001F10E8">
            <w:pPr>
              <w:pStyle w:val="NoSpacing"/>
              <w:jc w:val="center"/>
              <w:rPr>
                <w:rFonts w:ascii="Arial" w:hAnsi="Arial" w:cs="Arial"/>
                <w:color w:val="00BEA0"/>
                <w:sz w:val="20"/>
                <w:szCs w:val="20"/>
                <w:lang w:val="nb-NO"/>
              </w:rPr>
            </w:pPr>
            <w:r w:rsidRPr="00210E55">
              <w:rPr>
                <w:rFonts w:ascii="Arial" w:hAnsi="Arial" w:cs="Arial"/>
                <w:color w:val="00BEA0"/>
                <w:sz w:val="20"/>
                <w:szCs w:val="20"/>
                <w:lang w:val="nb-NO"/>
              </w:rPr>
              <w:t>Figur</w:t>
            </w:r>
            <w:r w:rsidR="00D20598">
              <w:rPr>
                <w:rFonts w:ascii="Arial" w:hAnsi="Arial" w:cs="Arial"/>
                <w:color w:val="00BEA0"/>
                <w:sz w:val="20"/>
                <w:szCs w:val="20"/>
                <w:lang w:val="nb-NO"/>
              </w:rPr>
              <w:t>e</w:t>
            </w:r>
            <w:r w:rsidRPr="00210E55">
              <w:rPr>
                <w:rFonts w:ascii="Arial" w:hAnsi="Arial" w:cs="Arial"/>
                <w:color w:val="00BEA0"/>
                <w:sz w:val="20"/>
                <w:szCs w:val="20"/>
                <w:lang w:val="nb-NO"/>
              </w:rPr>
              <w:t xml:space="preserve"> 2</w:t>
            </w:r>
            <w:r w:rsidR="0098723F">
              <w:rPr>
                <w:rFonts w:ascii="Arial" w:hAnsi="Arial" w:cs="Arial"/>
                <w:color w:val="00BEA0"/>
                <w:sz w:val="20"/>
                <w:szCs w:val="20"/>
                <w:lang w:val="nb-NO"/>
              </w:rPr>
              <w:t>.</w:t>
            </w:r>
            <w:r w:rsidRPr="00210E55">
              <w:rPr>
                <w:rFonts w:ascii="Arial" w:hAnsi="Arial" w:cs="Arial"/>
                <w:color w:val="00BEA0"/>
                <w:sz w:val="20"/>
                <w:szCs w:val="20"/>
                <w:lang w:val="nb-NO"/>
              </w:rPr>
              <w:t xml:space="preserve"> </w:t>
            </w:r>
            <w:r w:rsidR="00D20598">
              <w:rPr>
                <w:rFonts w:ascii="Arial" w:hAnsi="Arial" w:cs="Arial"/>
                <w:color w:val="00BEA0"/>
                <w:sz w:val="20"/>
                <w:szCs w:val="20"/>
                <w:lang w:val="nb-NO"/>
              </w:rPr>
              <w:t xml:space="preserve">Mechanism of </w:t>
            </w:r>
            <w:r w:rsidR="00E86D6B">
              <w:rPr>
                <w:rFonts w:ascii="Arial" w:hAnsi="Arial" w:cs="Arial"/>
                <w:color w:val="00BEA0"/>
                <w:sz w:val="20"/>
                <w:szCs w:val="20"/>
                <w:lang w:val="nb-NO"/>
              </w:rPr>
              <w:t>LEBRIKIZUMAB</w:t>
            </w:r>
            <w:r w:rsidRPr="00210E55">
              <w:rPr>
                <w:rFonts w:ascii="Arial" w:hAnsi="Arial" w:cs="Arial"/>
                <w:color w:val="00BEA0"/>
                <w:sz w:val="20"/>
                <w:szCs w:val="20"/>
                <w:lang w:val="nb-NO"/>
              </w:rPr>
              <w:t>.</w:t>
            </w:r>
            <w:r w:rsidR="00DF4ED1" w:rsidRPr="00D20598">
              <w:rPr>
                <w:lang w:val="en-US"/>
              </w:rPr>
              <w:t xml:space="preserve"> </w:t>
            </w:r>
            <w:r w:rsidR="00DF4ED1" w:rsidRPr="00DF4ED1">
              <w:rPr>
                <w:rFonts w:ascii="Arial" w:hAnsi="Arial" w:cs="Arial"/>
                <w:color w:val="00BEA0"/>
                <w:sz w:val="20"/>
                <w:szCs w:val="20"/>
                <w:lang w:val="nb-NO"/>
              </w:rPr>
              <w:t>Figur</w:t>
            </w:r>
            <w:r w:rsidR="00D20598">
              <w:rPr>
                <w:rFonts w:ascii="Arial" w:hAnsi="Arial" w:cs="Arial"/>
                <w:color w:val="00BEA0"/>
                <w:sz w:val="20"/>
                <w:szCs w:val="20"/>
                <w:lang w:val="nb-NO"/>
              </w:rPr>
              <w:t>e</w:t>
            </w:r>
            <w:r w:rsidR="00DF4ED1" w:rsidRPr="00DF4ED1">
              <w:rPr>
                <w:rFonts w:ascii="Arial" w:hAnsi="Arial" w:cs="Arial"/>
                <w:color w:val="00BEA0"/>
                <w:sz w:val="20"/>
                <w:szCs w:val="20"/>
                <w:lang w:val="nb-NO"/>
              </w:rPr>
              <w:t xml:space="preserve"> </w:t>
            </w:r>
            <w:r w:rsidR="00D20598">
              <w:rPr>
                <w:rFonts w:ascii="Arial" w:hAnsi="Arial" w:cs="Arial"/>
                <w:color w:val="00BEA0"/>
                <w:sz w:val="20"/>
                <w:szCs w:val="20"/>
                <w:lang w:val="nb-NO"/>
              </w:rPr>
              <w:t xml:space="preserve">adapted </w:t>
            </w:r>
            <w:r w:rsidR="0075761F">
              <w:rPr>
                <w:rFonts w:ascii="Arial" w:hAnsi="Arial" w:cs="Arial"/>
                <w:color w:val="00BEA0"/>
                <w:sz w:val="20"/>
                <w:szCs w:val="20"/>
                <w:lang w:val="nb-NO"/>
              </w:rPr>
              <w:t>fr</w:t>
            </w:r>
            <w:r w:rsidR="00D20598">
              <w:rPr>
                <w:rFonts w:ascii="Arial" w:hAnsi="Arial" w:cs="Arial"/>
                <w:color w:val="00BEA0"/>
                <w:sz w:val="20"/>
                <w:szCs w:val="20"/>
                <w:lang w:val="nb-NO"/>
              </w:rPr>
              <w:t>om</w:t>
            </w:r>
            <w:r w:rsidR="00DF4ED1" w:rsidRPr="00DF4ED1">
              <w:rPr>
                <w:rFonts w:ascii="Arial" w:hAnsi="Arial" w:cs="Arial"/>
                <w:color w:val="00BEA0"/>
                <w:sz w:val="20"/>
                <w:szCs w:val="20"/>
                <w:lang w:val="nb-NO"/>
              </w:rPr>
              <w:t xml:space="preserve"> Bieber </w:t>
            </w:r>
            <w:r w:rsidR="0075761F">
              <w:rPr>
                <w:rFonts w:ascii="Arial" w:hAnsi="Arial" w:cs="Arial"/>
                <w:color w:val="00BEA0"/>
                <w:sz w:val="20"/>
                <w:szCs w:val="20"/>
                <w:lang w:val="nb-NO"/>
              </w:rPr>
              <w:t xml:space="preserve">2021 </w:t>
            </w:r>
            <w:r w:rsidR="00D20598">
              <w:rPr>
                <w:rFonts w:ascii="Arial" w:hAnsi="Arial" w:cs="Arial"/>
                <w:color w:val="00BEA0"/>
                <w:sz w:val="20"/>
                <w:szCs w:val="20"/>
                <w:lang w:val="nb-NO"/>
              </w:rPr>
              <w:t>and</w:t>
            </w:r>
            <w:r w:rsidR="00DF4ED1" w:rsidRPr="00DF4ED1">
              <w:rPr>
                <w:rFonts w:ascii="Arial" w:hAnsi="Arial" w:cs="Arial"/>
                <w:color w:val="00BEA0"/>
                <w:sz w:val="20"/>
                <w:szCs w:val="20"/>
                <w:lang w:val="nb-NO"/>
              </w:rPr>
              <w:t xml:space="preserve"> Moyle</w:t>
            </w:r>
            <w:r w:rsidR="0075761F">
              <w:rPr>
                <w:rFonts w:ascii="Arial" w:hAnsi="Arial" w:cs="Arial"/>
                <w:color w:val="00BEA0"/>
                <w:sz w:val="20"/>
                <w:szCs w:val="20"/>
                <w:lang w:val="nb-NO"/>
              </w:rPr>
              <w:t xml:space="preserve"> 2019</w:t>
            </w:r>
            <w:r w:rsidR="001F10E8">
              <w:rPr>
                <w:rFonts w:ascii="Arial" w:hAnsi="Arial" w:cs="Arial"/>
                <w:color w:val="00BEA0"/>
                <w:sz w:val="20"/>
                <w:szCs w:val="20"/>
                <w:lang w:val="nb-NO"/>
              </w:rPr>
              <w:t>.</w:t>
            </w:r>
            <w:r w:rsidR="001F10E8" w:rsidRPr="001F10E8">
              <w:rPr>
                <w:rFonts w:ascii="Arial" w:hAnsi="Arial" w:cs="Arial"/>
                <w:color w:val="00BEA0"/>
                <w:sz w:val="20"/>
                <w:szCs w:val="20"/>
                <w:vertAlign w:val="superscript"/>
                <w:lang w:val="nb-NO"/>
              </w:rPr>
              <w:t>2,12</w:t>
            </w:r>
          </w:p>
          <w:p w14:paraId="116BA5D1" w14:textId="7BB7EAFA" w:rsidR="00E34AA3" w:rsidRPr="00E34AA3" w:rsidRDefault="001F2364" w:rsidP="001F2364">
            <w:pPr>
              <w:tabs>
                <w:tab w:val="left" w:pos="9229"/>
              </w:tabs>
              <w:rPr>
                <w:lang w:val="nb-NO"/>
              </w:rPr>
            </w:pPr>
            <w:r>
              <w:rPr>
                <w:lang w:val="nb-NO"/>
              </w:rPr>
              <w:tab/>
            </w:r>
          </w:p>
        </w:tc>
      </w:tr>
    </w:tbl>
    <w:p w14:paraId="6AF17275" w14:textId="2EE1E35D" w:rsidR="00D70D1C" w:rsidRDefault="00FA5B2E" w:rsidP="009F6C20">
      <w:pPr>
        <w:pStyle w:val="NoSpacing"/>
        <w:keepNext/>
        <w:keepLines/>
        <w:rPr>
          <w:rFonts w:ascii="Arial" w:hAnsi="Arial" w:cs="Arial"/>
          <w:color w:val="6F6F6F"/>
          <w:lang w:val="nb-NO"/>
        </w:rPr>
      </w:pPr>
      <w:r>
        <w:rPr>
          <w:rFonts w:ascii="Arial" w:hAnsi="Arial" w:cs="Arial"/>
          <w:b/>
          <w:bCs/>
          <w:color w:val="00BEA0"/>
          <w:lang w:val="nb-NO"/>
        </w:rPr>
        <w:lastRenderedPageBreak/>
        <w:t xml:space="preserve">Efficacy </w:t>
      </w:r>
      <w:r w:rsidR="00DB6FC2">
        <w:rPr>
          <w:rFonts w:ascii="Arial" w:hAnsi="Arial" w:cs="Arial"/>
          <w:b/>
          <w:bCs/>
          <w:color w:val="00BEA0"/>
          <w:lang w:val="nb-NO"/>
        </w:rPr>
        <w:t>D</w:t>
      </w:r>
      <w:r>
        <w:rPr>
          <w:rFonts w:ascii="Arial" w:hAnsi="Arial" w:cs="Arial"/>
          <w:b/>
          <w:bCs/>
          <w:color w:val="00BEA0"/>
          <w:lang w:val="nb-NO"/>
        </w:rPr>
        <w:t>ata</w:t>
      </w:r>
    </w:p>
    <w:p w14:paraId="042494F2" w14:textId="61E1DE9C" w:rsidR="00AC42B9" w:rsidRDefault="00E86D6B" w:rsidP="00AC42B9">
      <w:pPr>
        <w:pStyle w:val="NoSpacing"/>
        <w:keepNext/>
        <w:keepLines/>
        <w:spacing w:after="120"/>
        <w:rPr>
          <w:rFonts w:ascii="Arial" w:hAnsi="Arial" w:cs="Arial"/>
          <w:color w:val="6F6F6F"/>
          <w:lang w:val="nb-NO"/>
        </w:rPr>
      </w:pPr>
      <w:r>
        <w:rPr>
          <w:rFonts w:ascii="Arial" w:hAnsi="Arial" w:cs="Arial"/>
          <w:color w:val="6F6F6F"/>
          <w:lang w:val="nb-NO"/>
        </w:rPr>
        <w:t>LEBRIKIZUMAB</w:t>
      </w:r>
      <w:r w:rsidR="00FE08B8" w:rsidRPr="00FE08B8">
        <w:rPr>
          <w:rFonts w:ascii="Arial" w:hAnsi="Arial" w:cs="Arial"/>
          <w:color w:val="6F6F6F"/>
          <w:lang w:val="nb-NO"/>
        </w:rPr>
        <w:t xml:space="preserve"> </w:t>
      </w:r>
      <w:r w:rsidR="00E0293A" w:rsidRPr="00E0293A">
        <w:rPr>
          <w:rFonts w:ascii="Arial" w:hAnsi="Arial" w:cs="Arial"/>
          <w:color w:val="6F6F6F"/>
          <w:lang w:val="nb-NO"/>
        </w:rPr>
        <w:t>as monotherapy was evaluated against placebo in two phase 3 studies: ADvocate 1 and 2</w:t>
      </w:r>
      <w:r w:rsidR="00D47E90" w:rsidRPr="00D47E90">
        <w:rPr>
          <w:rFonts w:ascii="Arial" w:hAnsi="Arial" w:cs="Arial"/>
          <w:color w:val="6F6F6F"/>
          <w:vertAlign w:val="superscript"/>
          <w:lang w:val="nb-NO"/>
        </w:rPr>
        <w:t>1,13</w:t>
      </w:r>
      <w:r w:rsidR="00FE08B8" w:rsidRPr="00FE08B8">
        <w:rPr>
          <w:rFonts w:ascii="Arial" w:hAnsi="Arial" w:cs="Arial"/>
          <w:color w:val="6F6F6F"/>
          <w:lang w:val="nb-NO"/>
        </w:rPr>
        <w:t xml:space="preserve"> </w:t>
      </w:r>
      <w:r w:rsidR="00E476CC" w:rsidRPr="00E476CC">
        <w:rPr>
          <w:rFonts w:ascii="Arial" w:hAnsi="Arial" w:cs="Arial"/>
          <w:color w:val="6F6F6F"/>
          <w:lang w:val="nb-NO"/>
        </w:rPr>
        <w:t xml:space="preserve">In the ADvocate studies, patients were randomized to either placebo or 250 mg </w:t>
      </w:r>
      <w:r>
        <w:rPr>
          <w:rFonts w:ascii="Arial" w:hAnsi="Arial" w:cs="Arial"/>
          <w:color w:val="6F6F6F"/>
          <w:lang w:val="nb-NO"/>
        </w:rPr>
        <w:t>LEBRIKIZUMAB</w:t>
      </w:r>
      <w:r w:rsidR="00E476CC" w:rsidRPr="00E476CC">
        <w:rPr>
          <w:rFonts w:ascii="Arial" w:hAnsi="Arial" w:cs="Arial"/>
          <w:color w:val="6F6F6F"/>
          <w:lang w:val="nb-NO"/>
        </w:rPr>
        <w:t xml:space="preserve"> every other week (Q2W) for a period of 16 weeks</w:t>
      </w:r>
      <w:r w:rsidR="00E476CC">
        <w:rPr>
          <w:rFonts w:ascii="Arial" w:hAnsi="Arial" w:cs="Arial"/>
          <w:color w:val="6F6F6F"/>
          <w:lang w:val="nb-NO"/>
        </w:rPr>
        <w:t>.</w:t>
      </w:r>
      <w:r w:rsidR="00C537DF">
        <w:rPr>
          <w:rFonts w:ascii="Arial" w:hAnsi="Arial" w:cs="Arial"/>
          <w:color w:val="6F6F6F"/>
          <w:vertAlign w:val="superscript"/>
          <w:lang w:val="nb-NO"/>
        </w:rPr>
        <w:t>13</w:t>
      </w:r>
      <w:r w:rsidR="00FE08B8" w:rsidRPr="00FE08B8">
        <w:rPr>
          <w:rFonts w:ascii="Arial" w:hAnsi="Arial" w:cs="Arial"/>
          <w:color w:val="6F6F6F"/>
          <w:lang w:val="nb-NO"/>
        </w:rPr>
        <w:t xml:space="preserve"> </w:t>
      </w:r>
      <w:r w:rsidR="00225C69" w:rsidRPr="00225C69">
        <w:rPr>
          <w:rFonts w:ascii="Arial" w:hAnsi="Arial" w:cs="Arial"/>
          <w:color w:val="6F6F6F"/>
          <w:lang w:val="nb-NO"/>
        </w:rPr>
        <w:t>Both studies achieved their primary endpoints at week 16, with a statistically significant proportion of patients achieving EASI 75 compared to placebo (52-59% vs. 16-18%</w:t>
      </w:r>
      <w:r w:rsidR="00CA74A4" w:rsidRPr="00CA74A4">
        <w:rPr>
          <w:rFonts w:ascii="Arial" w:hAnsi="Arial" w:cs="Arial"/>
          <w:color w:val="6F6F6F"/>
          <w:lang w:val="nb-NO"/>
        </w:rPr>
        <w:t xml:space="preserve">, </w:t>
      </w:r>
      <w:r w:rsidR="00A348FF" w:rsidRPr="00A348FF">
        <w:rPr>
          <w:rFonts w:ascii="Arial" w:hAnsi="Arial" w:cs="Arial"/>
          <w:color w:val="00BEA0"/>
          <w:lang w:val="nb-NO"/>
        </w:rPr>
        <w:t>tabel 1</w:t>
      </w:r>
      <w:r w:rsidR="00A348FF">
        <w:rPr>
          <w:rFonts w:ascii="Arial" w:hAnsi="Arial" w:cs="Arial"/>
          <w:color w:val="6F6F6F"/>
          <w:lang w:val="nb-NO"/>
        </w:rPr>
        <w:t xml:space="preserve">, </w:t>
      </w:r>
      <w:r w:rsidR="00CA74A4" w:rsidRPr="00CA74A4">
        <w:rPr>
          <w:rFonts w:ascii="Arial" w:hAnsi="Arial" w:cs="Arial"/>
          <w:color w:val="00BEA0"/>
          <w:lang w:val="nb-NO"/>
        </w:rPr>
        <w:t>figur</w:t>
      </w:r>
      <w:r w:rsidR="00225C69">
        <w:rPr>
          <w:rFonts w:ascii="Arial" w:hAnsi="Arial" w:cs="Arial"/>
          <w:color w:val="00BEA0"/>
          <w:lang w:val="nb-NO"/>
        </w:rPr>
        <w:t>e</w:t>
      </w:r>
      <w:r w:rsidR="00CA74A4" w:rsidRPr="00CA74A4">
        <w:rPr>
          <w:rFonts w:ascii="Arial" w:hAnsi="Arial" w:cs="Arial"/>
          <w:color w:val="00BEA0"/>
          <w:lang w:val="nb-NO"/>
        </w:rPr>
        <w:t xml:space="preserve"> 3a og 3b</w:t>
      </w:r>
      <w:r w:rsidR="00C537DF">
        <w:rPr>
          <w:rFonts w:ascii="Arial" w:hAnsi="Arial" w:cs="Arial"/>
          <w:color w:val="6F6F6F"/>
          <w:lang w:val="nb-NO"/>
        </w:rPr>
        <w:t>)</w:t>
      </w:r>
      <w:r w:rsidR="00CA74A4" w:rsidRPr="00CA74A4">
        <w:rPr>
          <w:rFonts w:ascii="Arial" w:hAnsi="Arial" w:cs="Arial"/>
          <w:color w:val="6F6F6F"/>
          <w:lang w:val="nb-NO"/>
        </w:rPr>
        <w:t xml:space="preserve">. </w:t>
      </w:r>
      <w:r w:rsidR="00142B47" w:rsidRPr="00142B47">
        <w:rPr>
          <w:rFonts w:ascii="Arial" w:hAnsi="Arial" w:cs="Arial"/>
          <w:color w:val="6F6F6F"/>
          <w:lang w:val="nb-NO"/>
        </w:rPr>
        <w:t xml:space="preserve">Patients treated with </w:t>
      </w:r>
      <w:r>
        <w:rPr>
          <w:rFonts w:ascii="Arial" w:hAnsi="Arial" w:cs="Arial"/>
          <w:color w:val="6F6F6F"/>
          <w:lang w:val="nb-NO"/>
        </w:rPr>
        <w:t>LEBRIKIZUMAB</w:t>
      </w:r>
      <w:r w:rsidR="00142B47" w:rsidRPr="00142B47">
        <w:rPr>
          <w:rFonts w:ascii="Arial" w:hAnsi="Arial" w:cs="Arial"/>
          <w:color w:val="6F6F6F"/>
          <w:lang w:val="nb-NO"/>
        </w:rPr>
        <w:t xml:space="preserve"> also achieved significant improvements of ≥4 points in DLQI (66-76% vs. 34% placebo) and pruritus NRS (40-46% vs. 12-13% placebo</w:t>
      </w:r>
      <w:r w:rsidR="00142B47">
        <w:rPr>
          <w:rFonts w:ascii="Arial" w:hAnsi="Arial" w:cs="Arial"/>
          <w:color w:val="6F6F6F"/>
          <w:lang w:val="nb-NO"/>
        </w:rPr>
        <w:t xml:space="preserve">, </w:t>
      </w:r>
      <w:r w:rsidR="0038529F" w:rsidRPr="0038529F">
        <w:rPr>
          <w:rFonts w:ascii="Arial" w:hAnsi="Arial" w:cs="Arial"/>
          <w:color w:val="00BEA0"/>
          <w:lang w:val="nb-NO"/>
        </w:rPr>
        <w:t>tabel 1</w:t>
      </w:r>
      <w:r w:rsidR="0038529F">
        <w:rPr>
          <w:rFonts w:ascii="Arial" w:hAnsi="Arial" w:cs="Arial"/>
          <w:color w:val="6F6F6F"/>
          <w:lang w:val="nb-NO"/>
        </w:rPr>
        <w:t>).</w:t>
      </w:r>
    </w:p>
    <w:tbl>
      <w:tblPr>
        <w:tblStyle w:val="TableGrid"/>
        <w:tblW w:w="0" w:type="auto"/>
        <w:jc w:val="center"/>
        <w:tblLook w:val="04A0" w:firstRow="1" w:lastRow="0" w:firstColumn="1" w:lastColumn="0" w:noHBand="0" w:noVBand="1"/>
      </w:tblPr>
      <w:tblGrid>
        <w:gridCol w:w="1830"/>
        <w:gridCol w:w="1006"/>
        <w:gridCol w:w="980"/>
        <w:gridCol w:w="863"/>
        <w:gridCol w:w="850"/>
        <w:gridCol w:w="1276"/>
        <w:gridCol w:w="1276"/>
        <w:gridCol w:w="283"/>
      </w:tblGrid>
      <w:tr w:rsidR="00682DB9" w:rsidRPr="006164C8" w14:paraId="67D119A3" w14:textId="49923002" w:rsidTr="00860A7F">
        <w:trPr>
          <w:jc w:val="center"/>
        </w:trPr>
        <w:tc>
          <w:tcPr>
            <w:tcW w:w="8364" w:type="dxa"/>
            <w:gridSpan w:val="8"/>
            <w:tcBorders>
              <w:top w:val="nil"/>
              <w:left w:val="nil"/>
              <w:bottom w:val="nil"/>
              <w:right w:val="nil"/>
            </w:tcBorders>
          </w:tcPr>
          <w:p w14:paraId="0848A4CE" w14:textId="16A6E1CE" w:rsidR="00682DB9" w:rsidRPr="0098723F" w:rsidRDefault="00FE6E9A" w:rsidP="00D70D1C">
            <w:pPr>
              <w:pStyle w:val="NoSpacing"/>
              <w:rPr>
                <w:rFonts w:ascii="Arial" w:hAnsi="Arial" w:cs="Arial"/>
                <w:color w:val="00BEA0"/>
                <w:sz w:val="20"/>
                <w:szCs w:val="20"/>
                <w:lang w:val="nb-NO"/>
              </w:rPr>
            </w:pPr>
            <w:r w:rsidRPr="0098723F">
              <w:rPr>
                <w:rFonts w:ascii="Arial" w:hAnsi="Arial" w:cs="Arial"/>
                <w:color w:val="00BEA0"/>
                <w:sz w:val="20"/>
                <w:szCs w:val="20"/>
                <w:lang w:val="nb-NO"/>
              </w:rPr>
              <w:t>Tabel 1</w:t>
            </w:r>
            <w:r w:rsidR="0098723F" w:rsidRPr="0098723F">
              <w:rPr>
                <w:rFonts w:ascii="Arial" w:hAnsi="Arial" w:cs="Arial"/>
                <w:color w:val="00BEA0"/>
                <w:sz w:val="20"/>
                <w:szCs w:val="20"/>
                <w:lang w:val="nb-NO"/>
              </w:rPr>
              <w:t>.</w:t>
            </w:r>
            <w:r w:rsidR="002E5988">
              <w:rPr>
                <w:rFonts w:ascii="Arial" w:hAnsi="Arial" w:cs="Arial"/>
                <w:color w:val="00BEA0"/>
                <w:sz w:val="20"/>
                <w:szCs w:val="20"/>
                <w:lang w:val="nb-NO"/>
              </w:rPr>
              <w:t xml:space="preserve"> </w:t>
            </w:r>
            <w:r w:rsidR="00642E1E">
              <w:rPr>
                <w:rFonts w:ascii="Arial" w:hAnsi="Arial" w:cs="Arial"/>
                <w:color w:val="00BEA0"/>
                <w:sz w:val="20"/>
                <w:szCs w:val="20"/>
                <w:lang w:val="nb-NO"/>
              </w:rPr>
              <w:t>Effic</w:t>
            </w:r>
            <w:r w:rsidR="006B21F2">
              <w:rPr>
                <w:rFonts w:ascii="Arial" w:hAnsi="Arial" w:cs="Arial"/>
                <w:color w:val="00BEA0"/>
                <w:sz w:val="20"/>
                <w:szCs w:val="20"/>
                <w:lang w:val="nb-NO"/>
              </w:rPr>
              <w:t>acy</w:t>
            </w:r>
            <w:r w:rsidR="002E5988">
              <w:rPr>
                <w:rFonts w:ascii="Arial" w:hAnsi="Arial" w:cs="Arial"/>
                <w:color w:val="00BEA0"/>
                <w:sz w:val="20"/>
                <w:szCs w:val="20"/>
                <w:lang w:val="nb-NO"/>
              </w:rPr>
              <w:t xml:space="preserve"> </w:t>
            </w:r>
            <w:r w:rsidR="006B21F2">
              <w:rPr>
                <w:rFonts w:ascii="Arial" w:hAnsi="Arial" w:cs="Arial"/>
                <w:color w:val="00BEA0"/>
                <w:sz w:val="20"/>
                <w:szCs w:val="20"/>
                <w:lang w:val="nb-NO"/>
              </w:rPr>
              <w:t>of</w:t>
            </w:r>
            <w:r w:rsidR="00787323">
              <w:rPr>
                <w:rFonts w:ascii="Arial" w:hAnsi="Arial" w:cs="Arial"/>
                <w:color w:val="00BEA0"/>
                <w:sz w:val="20"/>
                <w:szCs w:val="20"/>
                <w:lang w:val="nb-NO"/>
              </w:rPr>
              <w:t xml:space="preserve"> 250 mg</w:t>
            </w:r>
            <w:r w:rsidR="002E5988">
              <w:rPr>
                <w:rFonts w:ascii="Arial" w:hAnsi="Arial" w:cs="Arial"/>
                <w:color w:val="00BEA0"/>
                <w:sz w:val="20"/>
                <w:szCs w:val="20"/>
                <w:lang w:val="nb-NO"/>
              </w:rPr>
              <w:t xml:space="preserve"> </w:t>
            </w:r>
            <w:r w:rsidR="00E86D6B">
              <w:rPr>
                <w:rFonts w:ascii="Arial" w:hAnsi="Arial" w:cs="Arial"/>
                <w:color w:val="00BEA0"/>
                <w:sz w:val="20"/>
                <w:szCs w:val="20"/>
                <w:lang w:val="nb-NO"/>
              </w:rPr>
              <w:t>LEBRIKIZUMAB</w:t>
            </w:r>
            <w:r w:rsidR="002E5988">
              <w:rPr>
                <w:rFonts w:ascii="Arial" w:hAnsi="Arial" w:cs="Arial"/>
                <w:color w:val="00BEA0"/>
                <w:sz w:val="20"/>
                <w:szCs w:val="20"/>
                <w:lang w:val="nb-NO"/>
              </w:rPr>
              <w:t xml:space="preserve"> monot</w:t>
            </w:r>
            <w:r w:rsidR="006B21F2">
              <w:rPr>
                <w:rFonts w:ascii="Arial" w:hAnsi="Arial" w:cs="Arial"/>
                <w:color w:val="00BEA0"/>
                <w:sz w:val="20"/>
                <w:szCs w:val="20"/>
                <w:lang w:val="nb-NO"/>
              </w:rPr>
              <w:t>h</w:t>
            </w:r>
            <w:r w:rsidR="002E5988">
              <w:rPr>
                <w:rFonts w:ascii="Arial" w:hAnsi="Arial" w:cs="Arial"/>
                <w:color w:val="00BEA0"/>
                <w:sz w:val="20"/>
                <w:szCs w:val="20"/>
                <w:lang w:val="nb-NO"/>
              </w:rPr>
              <w:t>erap</w:t>
            </w:r>
            <w:r w:rsidR="006B21F2">
              <w:rPr>
                <w:rFonts w:ascii="Arial" w:hAnsi="Arial" w:cs="Arial"/>
                <w:color w:val="00BEA0"/>
                <w:sz w:val="20"/>
                <w:szCs w:val="20"/>
                <w:lang w:val="nb-NO"/>
              </w:rPr>
              <w:t>y</w:t>
            </w:r>
            <w:r w:rsidR="00826C19">
              <w:rPr>
                <w:rFonts w:ascii="Arial" w:hAnsi="Arial" w:cs="Arial"/>
                <w:color w:val="00BEA0"/>
                <w:sz w:val="20"/>
                <w:szCs w:val="20"/>
                <w:lang w:val="nb-NO"/>
              </w:rPr>
              <w:t xml:space="preserve"> </w:t>
            </w:r>
            <w:r w:rsidR="006B21F2">
              <w:rPr>
                <w:rFonts w:ascii="Arial" w:hAnsi="Arial" w:cs="Arial"/>
                <w:color w:val="00BEA0"/>
                <w:sz w:val="20"/>
                <w:szCs w:val="20"/>
                <w:lang w:val="nb-NO"/>
              </w:rPr>
              <w:t>at week</w:t>
            </w:r>
            <w:r w:rsidR="00BF338A">
              <w:rPr>
                <w:rFonts w:ascii="Arial" w:hAnsi="Arial" w:cs="Arial"/>
                <w:color w:val="00BEA0"/>
                <w:sz w:val="20"/>
                <w:szCs w:val="20"/>
                <w:lang w:val="nb-NO"/>
              </w:rPr>
              <w:t xml:space="preserve"> 16 og </w:t>
            </w:r>
            <w:r w:rsidR="006B21F2">
              <w:rPr>
                <w:rFonts w:ascii="Arial" w:hAnsi="Arial" w:cs="Arial"/>
                <w:color w:val="00BEA0"/>
                <w:sz w:val="20"/>
                <w:szCs w:val="20"/>
                <w:lang w:val="nb-NO"/>
              </w:rPr>
              <w:t>week</w:t>
            </w:r>
            <w:r w:rsidR="00BF338A">
              <w:rPr>
                <w:rFonts w:ascii="Arial" w:hAnsi="Arial" w:cs="Arial"/>
                <w:color w:val="00BEA0"/>
                <w:sz w:val="20"/>
                <w:szCs w:val="20"/>
                <w:lang w:val="nb-NO"/>
              </w:rPr>
              <w:t xml:space="preserve"> 52 </w:t>
            </w:r>
            <w:r w:rsidR="006B21F2">
              <w:rPr>
                <w:rFonts w:ascii="Arial" w:hAnsi="Arial" w:cs="Arial"/>
                <w:color w:val="00BEA0"/>
                <w:sz w:val="20"/>
                <w:szCs w:val="20"/>
                <w:lang w:val="nb-NO"/>
              </w:rPr>
              <w:t>for patients with response to treatment at week 16</w:t>
            </w:r>
            <w:r w:rsidR="00C537DF">
              <w:rPr>
                <w:rFonts w:ascii="Arial" w:hAnsi="Arial" w:cs="Arial"/>
                <w:color w:val="00BEA0"/>
                <w:sz w:val="20"/>
                <w:szCs w:val="20"/>
                <w:lang w:val="nb-NO"/>
              </w:rPr>
              <w:t>.</w:t>
            </w:r>
            <w:r w:rsidR="00C537DF" w:rsidRPr="00C537DF">
              <w:rPr>
                <w:rFonts w:ascii="Arial" w:hAnsi="Arial" w:cs="Arial"/>
                <w:color w:val="00BEA0"/>
                <w:sz w:val="20"/>
                <w:szCs w:val="20"/>
                <w:vertAlign w:val="superscript"/>
                <w:lang w:val="nb-NO"/>
              </w:rPr>
              <w:t>13,14</w:t>
            </w:r>
          </w:p>
        </w:tc>
      </w:tr>
      <w:tr w:rsidR="00682DB9" w14:paraId="6233DD68" w14:textId="0D5FFAF6" w:rsidTr="00860A7F">
        <w:trPr>
          <w:jc w:val="center"/>
        </w:trPr>
        <w:tc>
          <w:tcPr>
            <w:tcW w:w="1830" w:type="dxa"/>
            <w:tcBorders>
              <w:top w:val="nil"/>
              <w:left w:val="nil"/>
              <w:bottom w:val="nil"/>
              <w:right w:val="nil"/>
            </w:tcBorders>
          </w:tcPr>
          <w:p w14:paraId="1519D71F" w14:textId="77777777" w:rsidR="00682DB9" w:rsidRDefault="00682DB9" w:rsidP="00D70D1C">
            <w:pPr>
              <w:pStyle w:val="NoSpacing"/>
              <w:rPr>
                <w:rFonts w:ascii="Arial" w:hAnsi="Arial" w:cs="Arial"/>
                <w:color w:val="6F6F6F"/>
                <w:lang w:val="nb-NO"/>
              </w:rPr>
            </w:pPr>
          </w:p>
        </w:tc>
        <w:tc>
          <w:tcPr>
            <w:tcW w:w="3699" w:type="dxa"/>
            <w:gridSpan w:val="4"/>
            <w:tcBorders>
              <w:top w:val="nil"/>
              <w:left w:val="nil"/>
              <w:bottom w:val="nil"/>
              <w:right w:val="single" w:sz="4" w:space="0" w:color="auto"/>
            </w:tcBorders>
          </w:tcPr>
          <w:p w14:paraId="12D29C98" w14:textId="34482D3B" w:rsidR="00682DB9" w:rsidRPr="004A4633" w:rsidRDefault="00463ED8" w:rsidP="004A4633">
            <w:pPr>
              <w:pStyle w:val="NoSpacing"/>
              <w:jc w:val="center"/>
              <w:rPr>
                <w:rFonts w:ascii="Arial" w:hAnsi="Arial" w:cs="Arial"/>
                <w:b/>
                <w:bCs/>
                <w:color w:val="6F6F6F"/>
                <w:lang w:val="nb-NO"/>
              </w:rPr>
            </w:pPr>
            <w:r>
              <w:rPr>
                <w:rFonts w:ascii="Arial" w:hAnsi="Arial" w:cs="Arial"/>
                <w:b/>
                <w:bCs/>
                <w:color w:val="6F6F6F"/>
                <w:lang w:val="nb-NO"/>
              </w:rPr>
              <w:t>Week</w:t>
            </w:r>
            <w:r w:rsidR="00682DB9" w:rsidRPr="004A4633">
              <w:rPr>
                <w:rFonts w:ascii="Arial" w:hAnsi="Arial" w:cs="Arial"/>
                <w:b/>
                <w:bCs/>
                <w:color w:val="6F6F6F"/>
                <w:lang w:val="nb-NO"/>
              </w:rPr>
              <w:t xml:space="preserve"> 16</w:t>
            </w:r>
          </w:p>
        </w:tc>
        <w:tc>
          <w:tcPr>
            <w:tcW w:w="2835" w:type="dxa"/>
            <w:gridSpan w:val="3"/>
            <w:tcBorders>
              <w:top w:val="nil"/>
              <w:left w:val="single" w:sz="4" w:space="0" w:color="auto"/>
              <w:bottom w:val="nil"/>
              <w:right w:val="nil"/>
            </w:tcBorders>
          </w:tcPr>
          <w:p w14:paraId="362B6A56" w14:textId="077CDA5F" w:rsidR="00682DB9" w:rsidRPr="004A4633" w:rsidRDefault="00463ED8" w:rsidP="004A4633">
            <w:pPr>
              <w:pStyle w:val="NoSpacing"/>
              <w:jc w:val="center"/>
              <w:rPr>
                <w:rFonts w:ascii="Arial" w:hAnsi="Arial" w:cs="Arial"/>
                <w:b/>
                <w:bCs/>
                <w:color w:val="6F6F6F"/>
                <w:lang w:val="nb-NO"/>
              </w:rPr>
            </w:pPr>
            <w:r>
              <w:rPr>
                <w:rFonts w:ascii="Arial" w:hAnsi="Arial" w:cs="Arial"/>
                <w:b/>
                <w:bCs/>
                <w:color w:val="6F6F6F"/>
                <w:lang w:val="nb-NO"/>
              </w:rPr>
              <w:t>Week</w:t>
            </w:r>
            <w:r w:rsidR="00682DB9" w:rsidRPr="004A4633">
              <w:rPr>
                <w:rFonts w:ascii="Arial" w:hAnsi="Arial" w:cs="Arial"/>
                <w:b/>
                <w:bCs/>
                <w:color w:val="6F6F6F"/>
                <w:lang w:val="nb-NO"/>
              </w:rPr>
              <w:t xml:space="preserve"> 52</w:t>
            </w:r>
          </w:p>
        </w:tc>
      </w:tr>
      <w:tr w:rsidR="00682DB9" w14:paraId="4F2F3B1C" w14:textId="2C163E19" w:rsidTr="00860A7F">
        <w:trPr>
          <w:jc w:val="center"/>
        </w:trPr>
        <w:tc>
          <w:tcPr>
            <w:tcW w:w="1830" w:type="dxa"/>
            <w:tcBorders>
              <w:top w:val="nil"/>
              <w:left w:val="nil"/>
              <w:bottom w:val="nil"/>
              <w:right w:val="nil"/>
            </w:tcBorders>
            <w:vAlign w:val="center"/>
          </w:tcPr>
          <w:p w14:paraId="7AC1BF10" w14:textId="77777777" w:rsidR="00682DB9" w:rsidRDefault="00682DB9" w:rsidP="004A4633">
            <w:pPr>
              <w:pStyle w:val="NoSpacing"/>
              <w:jc w:val="center"/>
              <w:rPr>
                <w:rFonts w:ascii="Arial" w:hAnsi="Arial" w:cs="Arial"/>
                <w:color w:val="6F6F6F"/>
                <w:lang w:val="nb-NO"/>
              </w:rPr>
            </w:pPr>
          </w:p>
        </w:tc>
        <w:tc>
          <w:tcPr>
            <w:tcW w:w="1986" w:type="dxa"/>
            <w:gridSpan w:val="2"/>
            <w:tcBorders>
              <w:top w:val="nil"/>
              <w:left w:val="nil"/>
              <w:bottom w:val="nil"/>
              <w:right w:val="nil"/>
            </w:tcBorders>
            <w:vAlign w:val="center"/>
          </w:tcPr>
          <w:p w14:paraId="75CBB24F" w14:textId="32C07A3D" w:rsidR="00682DB9" w:rsidRPr="004A4633" w:rsidRDefault="00682DB9" w:rsidP="004A463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ADvocate 1</w:t>
            </w:r>
          </w:p>
        </w:tc>
        <w:tc>
          <w:tcPr>
            <w:tcW w:w="1713" w:type="dxa"/>
            <w:gridSpan w:val="2"/>
            <w:tcBorders>
              <w:top w:val="nil"/>
              <w:left w:val="nil"/>
              <w:bottom w:val="nil"/>
              <w:right w:val="single" w:sz="4" w:space="0" w:color="auto"/>
            </w:tcBorders>
            <w:vAlign w:val="center"/>
          </w:tcPr>
          <w:p w14:paraId="22847750" w14:textId="77777777" w:rsidR="00682DB9" w:rsidRPr="004A4633" w:rsidRDefault="00682DB9" w:rsidP="004A463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ADvocate 2</w:t>
            </w:r>
          </w:p>
        </w:tc>
        <w:tc>
          <w:tcPr>
            <w:tcW w:w="2835" w:type="dxa"/>
            <w:gridSpan w:val="3"/>
            <w:tcBorders>
              <w:top w:val="nil"/>
              <w:left w:val="single" w:sz="4" w:space="0" w:color="auto"/>
              <w:bottom w:val="nil"/>
              <w:right w:val="nil"/>
            </w:tcBorders>
            <w:vAlign w:val="center"/>
          </w:tcPr>
          <w:p w14:paraId="6C5909F0" w14:textId="73A1CB6B" w:rsidR="00682DB9" w:rsidRPr="004A4633" w:rsidRDefault="00682DB9" w:rsidP="004A463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 xml:space="preserve">ADvocate 1+ 2 </w:t>
            </w:r>
          </w:p>
        </w:tc>
      </w:tr>
      <w:tr w:rsidR="00B04E1B" w14:paraId="78545359" w14:textId="05253D2E" w:rsidTr="006C42D1">
        <w:trPr>
          <w:gridAfter w:val="1"/>
          <w:wAfter w:w="283" w:type="dxa"/>
          <w:jc w:val="center"/>
        </w:trPr>
        <w:tc>
          <w:tcPr>
            <w:tcW w:w="1830" w:type="dxa"/>
            <w:tcBorders>
              <w:top w:val="nil"/>
              <w:left w:val="nil"/>
              <w:bottom w:val="nil"/>
              <w:right w:val="nil"/>
            </w:tcBorders>
          </w:tcPr>
          <w:p w14:paraId="61FB880C" w14:textId="77777777" w:rsidR="00B04E1B" w:rsidRDefault="00B04E1B" w:rsidP="00D70D1C">
            <w:pPr>
              <w:pStyle w:val="NoSpacing"/>
              <w:rPr>
                <w:rFonts w:ascii="Arial" w:hAnsi="Arial" w:cs="Arial"/>
                <w:color w:val="6F6F6F"/>
                <w:lang w:val="nb-NO"/>
              </w:rPr>
            </w:pPr>
          </w:p>
        </w:tc>
        <w:tc>
          <w:tcPr>
            <w:tcW w:w="1006" w:type="dxa"/>
            <w:tcBorders>
              <w:top w:val="nil"/>
              <w:left w:val="nil"/>
              <w:bottom w:val="nil"/>
              <w:right w:val="nil"/>
            </w:tcBorders>
          </w:tcPr>
          <w:p w14:paraId="7A1104A4" w14:textId="7E4F000E" w:rsidR="00B04E1B" w:rsidRPr="004A4633" w:rsidRDefault="00B04E1B" w:rsidP="00C870B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PBO</w:t>
            </w:r>
          </w:p>
        </w:tc>
        <w:tc>
          <w:tcPr>
            <w:tcW w:w="980" w:type="dxa"/>
            <w:tcBorders>
              <w:top w:val="nil"/>
              <w:left w:val="nil"/>
              <w:bottom w:val="nil"/>
              <w:right w:val="nil"/>
            </w:tcBorders>
          </w:tcPr>
          <w:p w14:paraId="099F1D43" w14:textId="1FB3D3A3" w:rsidR="00B04E1B" w:rsidRPr="000C1FC6" w:rsidRDefault="00B04E1B" w:rsidP="00C870B3">
            <w:pPr>
              <w:pStyle w:val="NoSpacing"/>
              <w:jc w:val="center"/>
              <w:rPr>
                <w:rFonts w:ascii="Arial" w:hAnsi="Arial" w:cs="Arial"/>
                <w:b/>
                <w:bCs/>
                <w:color w:val="B1059D"/>
                <w:sz w:val="20"/>
                <w:szCs w:val="20"/>
                <w:lang w:val="nb-NO"/>
              </w:rPr>
            </w:pPr>
            <w:r w:rsidRPr="00287699">
              <w:rPr>
                <w:rFonts w:ascii="Arial" w:hAnsi="Arial" w:cs="Arial"/>
                <w:b/>
                <w:bCs/>
                <w:color w:val="6F6F6F"/>
                <w:sz w:val="20"/>
                <w:szCs w:val="20"/>
                <w:lang w:val="nb-NO"/>
              </w:rPr>
              <w:t>Q2W</w:t>
            </w:r>
          </w:p>
        </w:tc>
        <w:tc>
          <w:tcPr>
            <w:tcW w:w="863" w:type="dxa"/>
            <w:tcBorders>
              <w:top w:val="nil"/>
              <w:left w:val="nil"/>
              <w:bottom w:val="nil"/>
              <w:right w:val="nil"/>
            </w:tcBorders>
          </w:tcPr>
          <w:p w14:paraId="7A1D5C4F" w14:textId="5F5CBCE4" w:rsidR="00B04E1B" w:rsidRPr="004A4633" w:rsidRDefault="00B04E1B" w:rsidP="00C870B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PBO</w:t>
            </w:r>
          </w:p>
        </w:tc>
        <w:tc>
          <w:tcPr>
            <w:tcW w:w="850" w:type="dxa"/>
            <w:tcBorders>
              <w:top w:val="nil"/>
              <w:left w:val="nil"/>
              <w:bottom w:val="nil"/>
              <w:right w:val="single" w:sz="4" w:space="0" w:color="auto"/>
            </w:tcBorders>
          </w:tcPr>
          <w:p w14:paraId="38325235" w14:textId="01D127E0" w:rsidR="00B04E1B" w:rsidRPr="004A4633" w:rsidRDefault="00B04E1B" w:rsidP="00C870B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Q2W</w:t>
            </w:r>
          </w:p>
        </w:tc>
        <w:tc>
          <w:tcPr>
            <w:tcW w:w="1276" w:type="dxa"/>
            <w:tcBorders>
              <w:top w:val="nil"/>
              <w:left w:val="single" w:sz="4" w:space="0" w:color="auto"/>
              <w:bottom w:val="nil"/>
              <w:right w:val="nil"/>
            </w:tcBorders>
          </w:tcPr>
          <w:p w14:paraId="509F85BD" w14:textId="216C647C" w:rsidR="00B04E1B" w:rsidRPr="004A4633" w:rsidRDefault="00B04E1B" w:rsidP="00C870B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PBO</w:t>
            </w:r>
          </w:p>
        </w:tc>
        <w:tc>
          <w:tcPr>
            <w:tcW w:w="1276" w:type="dxa"/>
            <w:tcBorders>
              <w:top w:val="nil"/>
              <w:left w:val="nil"/>
              <w:bottom w:val="nil"/>
              <w:right w:val="nil"/>
            </w:tcBorders>
          </w:tcPr>
          <w:p w14:paraId="00A8C5D6" w14:textId="103BBF53" w:rsidR="00B04E1B" w:rsidRPr="004A4633" w:rsidRDefault="00B04E1B" w:rsidP="00C870B3">
            <w:pPr>
              <w:pStyle w:val="NoSpacing"/>
              <w:jc w:val="center"/>
              <w:rPr>
                <w:rFonts w:ascii="Arial" w:hAnsi="Arial" w:cs="Arial"/>
                <w:b/>
                <w:bCs/>
                <w:color w:val="6F6F6F"/>
                <w:sz w:val="20"/>
                <w:szCs w:val="20"/>
                <w:lang w:val="nb-NO"/>
              </w:rPr>
            </w:pPr>
            <w:r w:rsidRPr="004A4633">
              <w:rPr>
                <w:rFonts w:ascii="Arial" w:hAnsi="Arial" w:cs="Arial"/>
                <w:b/>
                <w:bCs/>
                <w:color w:val="6F6F6F"/>
                <w:sz w:val="20"/>
                <w:szCs w:val="20"/>
                <w:lang w:val="nb-NO"/>
              </w:rPr>
              <w:t>Q4W</w:t>
            </w:r>
          </w:p>
        </w:tc>
      </w:tr>
      <w:tr w:rsidR="00B04E1B" w14:paraId="76A64F81" w14:textId="7771F992" w:rsidTr="006C42D1">
        <w:trPr>
          <w:gridAfter w:val="1"/>
          <w:wAfter w:w="283" w:type="dxa"/>
          <w:jc w:val="center"/>
        </w:trPr>
        <w:tc>
          <w:tcPr>
            <w:tcW w:w="1830" w:type="dxa"/>
            <w:tcBorders>
              <w:top w:val="nil"/>
              <w:left w:val="nil"/>
              <w:bottom w:val="nil"/>
              <w:right w:val="nil"/>
            </w:tcBorders>
          </w:tcPr>
          <w:p w14:paraId="560E8494" w14:textId="495DE3B6" w:rsidR="00B04E1B" w:rsidRPr="004A4633" w:rsidRDefault="00B04E1B" w:rsidP="00D70D1C">
            <w:pPr>
              <w:pStyle w:val="NoSpacing"/>
              <w:rPr>
                <w:rFonts w:ascii="Arial" w:hAnsi="Arial" w:cs="Arial"/>
                <w:b/>
                <w:bCs/>
                <w:color w:val="6F6F6F"/>
                <w:sz w:val="20"/>
                <w:szCs w:val="20"/>
                <w:vertAlign w:val="superscript"/>
                <w:lang w:val="nb-NO"/>
              </w:rPr>
            </w:pPr>
            <w:r w:rsidRPr="004A4633">
              <w:rPr>
                <w:rFonts w:ascii="Arial" w:hAnsi="Arial" w:cs="Arial"/>
                <w:b/>
                <w:bCs/>
                <w:color w:val="6F6F6F"/>
                <w:sz w:val="20"/>
                <w:szCs w:val="20"/>
                <w:lang w:val="nb-NO"/>
              </w:rPr>
              <w:t>% EASI 75</w:t>
            </w:r>
            <w:r w:rsidRPr="004A4633">
              <w:rPr>
                <w:rFonts w:ascii="Arial" w:hAnsi="Arial" w:cs="Arial"/>
                <w:b/>
                <w:bCs/>
                <w:color w:val="6F6F6F"/>
                <w:sz w:val="20"/>
                <w:szCs w:val="20"/>
                <w:vertAlign w:val="superscript"/>
                <w:lang w:val="nb-NO"/>
              </w:rPr>
              <w:t>a</w:t>
            </w:r>
          </w:p>
        </w:tc>
        <w:tc>
          <w:tcPr>
            <w:tcW w:w="1006" w:type="dxa"/>
            <w:tcBorders>
              <w:top w:val="nil"/>
              <w:left w:val="nil"/>
              <w:bottom w:val="nil"/>
              <w:right w:val="nil"/>
            </w:tcBorders>
          </w:tcPr>
          <w:p w14:paraId="3F8D5D8D" w14:textId="04B0A1F0" w:rsidR="00B04E1B" w:rsidRPr="005B0319" w:rsidRDefault="00B04E1B" w:rsidP="00C870B3">
            <w:pPr>
              <w:pStyle w:val="NoSpacing"/>
              <w:jc w:val="center"/>
              <w:rPr>
                <w:rFonts w:ascii="Arial" w:hAnsi="Arial" w:cs="Arial"/>
                <w:b/>
                <w:bCs/>
                <w:color w:val="A59D95"/>
                <w:lang w:val="nb-NO"/>
              </w:rPr>
            </w:pPr>
            <w:r w:rsidRPr="005B0319">
              <w:rPr>
                <w:rFonts w:ascii="Arial" w:hAnsi="Arial" w:cs="Arial"/>
                <w:b/>
                <w:bCs/>
                <w:color w:val="A59D95"/>
                <w:lang w:val="nb-NO"/>
              </w:rPr>
              <w:t>16</w:t>
            </w:r>
          </w:p>
        </w:tc>
        <w:tc>
          <w:tcPr>
            <w:tcW w:w="980" w:type="dxa"/>
            <w:tcBorders>
              <w:top w:val="nil"/>
              <w:left w:val="nil"/>
              <w:bottom w:val="nil"/>
              <w:right w:val="nil"/>
            </w:tcBorders>
          </w:tcPr>
          <w:p w14:paraId="0600F65D" w14:textId="5FB35415" w:rsidR="00B04E1B" w:rsidRDefault="00B04E1B" w:rsidP="00C870B3">
            <w:pPr>
              <w:pStyle w:val="NoSpacing"/>
              <w:jc w:val="center"/>
              <w:rPr>
                <w:rFonts w:ascii="Arial" w:hAnsi="Arial" w:cs="Arial"/>
                <w:color w:val="6F6F6F"/>
                <w:lang w:val="nb-NO"/>
              </w:rPr>
            </w:pPr>
            <w:r w:rsidRPr="00BB102F">
              <w:rPr>
                <w:rFonts w:ascii="Arial" w:hAnsi="Arial" w:cs="Arial"/>
                <w:b/>
                <w:bCs/>
                <w:color w:val="B1059D"/>
                <w:lang w:val="nb-NO"/>
              </w:rPr>
              <w:t>59</w:t>
            </w:r>
            <w:r>
              <w:rPr>
                <w:rFonts w:ascii="Arial" w:hAnsi="Arial" w:cs="Arial"/>
                <w:color w:val="6F6F6F"/>
                <w:lang w:val="nb-NO"/>
              </w:rPr>
              <w:t>***</w:t>
            </w:r>
          </w:p>
        </w:tc>
        <w:tc>
          <w:tcPr>
            <w:tcW w:w="863" w:type="dxa"/>
            <w:tcBorders>
              <w:top w:val="nil"/>
              <w:left w:val="nil"/>
              <w:bottom w:val="nil"/>
              <w:right w:val="nil"/>
            </w:tcBorders>
          </w:tcPr>
          <w:p w14:paraId="5C4E56F3" w14:textId="2A2BCE03" w:rsidR="00B04E1B" w:rsidRPr="00BB102F" w:rsidRDefault="00B04E1B" w:rsidP="00C870B3">
            <w:pPr>
              <w:pStyle w:val="NoSpacing"/>
              <w:jc w:val="center"/>
              <w:rPr>
                <w:rFonts w:ascii="Arial" w:hAnsi="Arial" w:cs="Arial"/>
                <w:b/>
                <w:bCs/>
                <w:color w:val="6F6F6F"/>
                <w:lang w:val="nb-NO"/>
              </w:rPr>
            </w:pPr>
            <w:r w:rsidRPr="005B0319">
              <w:rPr>
                <w:rFonts w:ascii="Arial" w:hAnsi="Arial" w:cs="Arial"/>
                <w:b/>
                <w:bCs/>
                <w:color w:val="A59D95"/>
                <w:lang w:val="nb-NO"/>
              </w:rPr>
              <w:t>18</w:t>
            </w:r>
          </w:p>
        </w:tc>
        <w:tc>
          <w:tcPr>
            <w:tcW w:w="850" w:type="dxa"/>
            <w:tcBorders>
              <w:top w:val="nil"/>
              <w:left w:val="nil"/>
              <w:bottom w:val="nil"/>
              <w:right w:val="single" w:sz="4" w:space="0" w:color="auto"/>
            </w:tcBorders>
          </w:tcPr>
          <w:p w14:paraId="6DF80408" w14:textId="485593F4" w:rsidR="00B04E1B" w:rsidRDefault="00B04E1B" w:rsidP="00C870B3">
            <w:pPr>
              <w:pStyle w:val="NoSpacing"/>
              <w:jc w:val="center"/>
              <w:rPr>
                <w:rFonts w:ascii="Arial" w:hAnsi="Arial" w:cs="Arial"/>
                <w:color w:val="6F6F6F"/>
                <w:lang w:val="nb-NO"/>
              </w:rPr>
            </w:pPr>
            <w:r w:rsidRPr="00BB102F">
              <w:rPr>
                <w:rFonts w:ascii="Arial" w:hAnsi="Arial" w:cs="Arial"/>
                <w:b/>
                <w:bCs/>
                <w:color w:val="B1059D"/>
                <w:lang w:val="nb-NO"/>
              </w:rPr>
              <w:t>52</w:t>
            </w:r>
            <w:r>
              <w:rPr>
                <w:rFonts w:ascii="Arial" w:hAnsi="Arial" w:cs="Arial"/>
                <w:color w:val="6F6F6F"/>
                <w:lang w:val="nb-NO"/>
              </w:rPr>
              <w:t>***</w:t>
            </w:r>
          </w:p>
        </w:tc>
        <w:tc>
          <w:tcPr>
            <w:tcW w:w="1276" w:type="dxa"/>
            <w:tcBorders>
              <w:top w:val="nil"/>
              <w:left w:val="single" w:sz="4" w:space="0" w:color="auto"/>
              <w:bottom w:val="nil"/>
              <w:right w:val="nil"/>
            </w:tcBorders>
          </w:tcPr>
          <w:p w14:paraId="7D25C90D" w14:textId="029EC792" w:rsidR="00B04E1B" w:rsidRPr="005B0319" w:rsidRDefault="00B04E1B" w:rsidP="00C870B3">
            <w:pPr>
              <w:pStyle w:val="NoSpacing"/>
              <w:jc w:val="center"/>
              <w:rPr>
                <w:rFonts w:ascii="Arial" w:hAnsi="Arial" w:cs="Arial"/>
                <w:b/>
                <w:bCs/>
                <w:color w:val="6F6F6F"/>
                <w:lang w:val="nb-NO"/>
              </w:rPr>
            </w:pPr>
            <w:r w:rsidRPr="005B0319">
              <w:rPr>
                <w:rFonts w:ascii="Arial" w:hAnsi="Arial" w:cs="Arial"/>
                <w:b/>
                <w:bCs/>
                <w:color w:val="A59D95"/>
                <w:lang w:val="nb-NO"/>
              </w:rPr>
              <w:t>66</w:t>
            </w:r>
          </w:p>
        </w:tc>
        <w:tc>
          <w:tcPr>
            <w:tcW w:w="1276" w:type="dxa"/>
            <w:tcBorders>
              <w:top w:val="nil"/>
              <w:left w:val="nil"/>
              <w:bottom w:val="nil"/>
              <w:right w:val="nil"/>
            </w:tcBorders>
          </w:tcPr>
          <w:p w14:paraId="6A804BF9" w14:textId="202874CE" w:rsidR="00B04E1B" w:rsidRPr="00BB102F" w:rsidRDefault="00B04E1B" w:rsidP="00C870B3">
            <w:pPr>
              <w:pStyle w:val="NoSpacing"/>
              <w:jc w:val="center"/>
              <w:rPr>
                <w:rFonts w:ascii="Arial" w:hAnsi="Arial" w:cs="Arial"/>
                <w:b/>
                <w:bCs/>
                <w:color w:val="B1059D"/>
                <w:lang w:val="nb-NO"/>
              </w:rPr>
            </w:pPr>
            <w:r w:rsidRPr="00BB102F">
              <w:rPr>
                <w:rFonts w:ascii="Arial" w:hAnsi="Arial" w:cs="Arial"/>
                <w:b/>
                <w:bCs/>
                <w:color w:val="002855"/>
                <w:lang w:val="nb-NO"/>
              </w:rPr>
              <w:t>82</w:t>
            </w:r>
            <w:r w:rsidR="005D63F6">
              <w:rPr>
                <w:rFonts w:ascii="Arial" w:hAnsi="Arial" w:cs="Arial"/>
                <w:color w:val="6F6F6F"/>
                <w:lang w:val="nb-NO"/>
              </w:rPr>
              <w:t>*</w:t>
            </w:r>
          </w:p>
        </w:tc>
      </w:tr>
      <w:tr w:rsidR="00B04E1B" w14:paraId="6F122AE6" w14:textId="77777777" w:rsidTr="006C42D1">
        <w:trPr>
          <w:gridAfter w:val="1"/>
          <w:wAfter w:w="283" w:type="dxa"/>
          <w:jc w:val="center"/>
        </w:trPr>
        <w:tc>
          <w:tcPr>
            <w:tcW w:w="1830" w:type="dxa"/>
            <w:tcBorders>
              <w:top w:val="nil"/>
              <w:left w:val="nil"/>
              <w:bottom w:val="nil"/>
              <w:right w:val="nil"/>
            </w:tcBorders>
          </w:tcPr>
          <w:p w14:paraId="716BAE94" w14:textId="37C627F0" w:rsidR="00B04E1B" w:rsidRPr="00E44D16" w:rsidRDefault="00B04E1B" w:rsidP="00D70D1C">
            <w:pPr>
              <w:pStyle w:val="NoSpacing"/>
              <w:rPr>
                <w:rFonts w:ascii="Arial" w:hAnsi="Arial" w:cs="Arial"/>
                <w:color w:val="6F6F6F"/>
                <w:sz w:val="20"/>
                <w:szCs w:val="20"/>
                <w:vertAlign w:val="superscript"/>
                <w:lang w:val="nb-NO"/>
              </w:rPr>
            </w:pPr>
            <w:r w:rsidRPr="00E44D16">
              <w:rPr>
                <w:rFonts w:ascii="Arial" w:hAnsi="Arial" w:cs="Arial"/>
                <w:color w:val="6F6F6F"/>
                <w:sz w:val="20"/>
                <w:szCs w:val="20"/>
                <w:lang w:val="nb-NO"/>
              </w:rPr>
              <w:t>% DLQI</w:t>
            </w:r>
            <w:r w:rsidRPr="00E44D16">
              <w:rPr>
                <w:rFonts w:ascii="Arial" w:hAnsi="Arial" w:cs="Arial"/>
                <w:color w:val="6F6F6F"/>
                <w:sz w:val="20"/>
                <w:szCs w:val="20"/>
                <w:vertAlign w:val="superscript"/>
                <w:lang w:val="nb-NO"/>
              </w:rPr>
              <w:t>b</w:t>
            </w:r>
          </w:p>
        </w:tc>
        <w:tc>
          <w:tcPr>
            <w:tcW w:w="1006" w:type="dxa"/>
            <w:tcBorders>
              <w:top w:val="nil"/>
              <w:left w:val="nil"/>
              <w:bottom w:val="nil"/>
              <w:right w:val="nil"/>
            </w:tcBorders>
          </w:tcPr>
          <w:p w14:paraId="4B155967" w14:textId="2BD7A8CF" w:rsidR="00B04E1B" w:rsidRDefault="00B04E1B" w:rsidP="00C870B3">
            <w:pPr>
              <w:pStyle w:val="NoSpacing"/>
              <w:jc w:val="center"/>
              <w:rPr>
                <w:rFonts w:ascii="Arial" w:hAnsi="Arial" w:cs="Arial"/>
                <w:color w:val="6F6F6F"/>
                <w:lang w:val="nb-NO"/>
              </w:rPr>
            </w:pPr>
            <w:r>
              <w:rPr>
                <w:rFonts w:ascii="Arial" w:hAnsi="Arial" w:cs="Arial"/>
                <w:color w:val="6F6F6F"/>
                <w:lang w:val="nb-NO"/>
              </w:rPr>
              <w:t>34</w:t>
            </w:r>
          </w:p>
        </w:tc>
        <w:tc>
          <w:tcPr>
            <w:tcW w:w="980" w:type="dxa"/>
            <w:tcBorders>
              <w:top w:val="nil"/>
              <w:left w:val="nil"/>
              <w:bottom w:val="nil"/>
              <w:right w:val="nil"/>
            </w:tcBorders>
          </w:tcPr>
          <w:p w14:paraId="0D13A527" w14:textId="50762697" w:rsidR="00B04E1B" w:rsidRDefault="00B04E1B" w:rsidP="00C870B3">
            <w:pPr>
              <w:pStyle w:val="NoSpacing"/>
              <w:jc w:val="center"/>
              <w:rPr>
                <w:rFonts w:ascii="Arial" w:hAnsi="Arial" w:cs="Arial"/>
                <w:color w:val="6F6F6F"/>
                <w:lang w:val="nb-NO"/>
              </w:rPr>
            </w:pPr>
            <w:r w:rsidRPr="00287699">
              <w:rPr>
                <w:rFonts w:ascii="Arial" w:hAnsi="Arial" w:cs="Arial"/>
                <w:color w:val="6F6F6F"/>
                <w:lang w:val="nb-NO"/>
              </w:rPr>
              <w:t>76</w:t>
            </w:r>
            <w:r>
              <w:rPr>
                <w:rFonts w:ascii="Arial" w:hAnsi="Arial" w:cs="Arial"/>
                <w:color w:val="6F6F6F"/>
                <w:lang w:val="nb-NO"/>
              </w:rPr>
              <w:t>***</w:t>
            </w:r>
          </w:p>
        </w:tc>
        <w:tc>
          <w:tcPr>
            <w:tcW w:w="863" w:type="dxa"/>
            <w:tcBorders>
              <w:top w:val="nil"/>
              <w:left w:val="nil"/>
              <w:bottom w:val="nil"/>
              <w:right w:val="nil"/>
            </w:tcBorders>
          </w:tcPr>
          <w:p w14:paraId="45B38FC0" w14:textId="73A49C59" w:rsidR="00B04E1B" w:rsidRDefault="00B04E1B" w:rsidP="00C870B3">
            <w:pPr>
              <w:pStyle w:val="NoSpacing"/>
              <w:jc w:val="center"/>
              <w:rPr>
                <w:rFonts w:ascii="Arial" w:hAnsi="Arial" w:cs="Arial"/>
                <w:color w:val="6F6F6F"/>
                <w:lang w:val="nb-NO"/>
              </w:rPr>
            </w:pPr>
            <w:r>
              <w:rPr>
                <w:rFonts w:ascii="Arial" w:hAnsi="Arial" w:cs="Arial"/>
                <w:color w:val="6F6F6F"/>
                <w:lang w:val="nb-NO"/>
              </w:rPr>
              <w:t>34</w:t>
            </w:r>
          </w:p>
        </w:tc>
        <w:tc>
          <w:tcPr>
            <w:tcW w:w="850" w:type="dxa"/>
            <w:tcBorders>
              <w:top w:val="nil"/>
              <w:left w:val="nil"/>
              <w:bottom w:val="nil"/>
              <w:right w:val="single" w:sz="4" w:space="0" w:color="auto"/>
            </w:tcBorders>
          </w:tcPr>
          <w:p w14:paraId="149E96A3" w14:textId="331C9871" w:rsidR="00B04E1B" w:rsidRDefault="00B04E1B" w:rsidP="00C870B3">
            <w:pPr>
              <w:pStyle w:val="NoSpacing"/>
              <w:jc w:val="center"/>
              <w:rPr>
                <w:rFonts w:ascii="Arial" w:hAnsi="Arial" w:cs="Arial"/>
                <w:color w:val="6F6F6F"/>
                <w:lang w:val="nb-NO"/>
              </w:rPr>
            </w:pPr>
            <w:r w:rsidRPr="00287699">
              <w:rPr>
                <w:rFonts w:ascii="Arial" w:hAnsi="Arial" w:cs="Arial"/>
                <w:color w:val="6F6F6F"/>
                <w:lang w:val="nb-NO"/>
              </w:rPr>
              <w:t>66</w:t>
            </w:r>
            <w:r>
              <w:rPr>
                <w:rFonts w:ascii="Arial" w:hAnsi="Arial" w:cs="Arial"/>
                <w:color w:val="6F6F6F"/>
                <w:lang w:val="nb-NO"/>
              </w:rPr>
              <w:t>***</w:t>
            </w:r>
          </w:p>
        </w:tc>
        <w:tc>
          <w:tcPr>
            <w:tcW w:w="1276" w:type="dxa"/>
            <w:tcBorders>
              <w:top w:val="nil"/>
              <w:left w:val="single" w:sz="4" w:space="0" w:color="auto"/>
              <w:bottom w:val="nil"/>
              <w:right w:val="nil"/>
            </w:tcBorders>
          </w:tcPr>
          <w:p w14:paraId="2305B58C" w14:textId="6028B761" w:rsidR="00B04E1B" w:rsidRDefault="00B04E1B" w:rsidP="00C870B3">
            <w:pPr>
              <w:pStyle w:val="NoSpacing"/>
              <w:jc w:val="center"/>
              <w:rPr>
                <w:rFonts w:ascii="Arial" w:hAnsi="Arial" w:cs="Arial"/>
                <w:color w:val="6F6F6F"/>
                <w:lang w:val="nb-NO"/>
              </w:rPr>
            </w:pPr>
            <w:r>
              <w:rPr>
                <w:rFonts w:ascii="Arial" w:hAnsi="Arial" w:cs="Arial"/>
                <w:color w:val="6F6F6F"/>
                <w:lang w:val="nb-NO"/>
              </w:rPr>
              <w:t>n.r.</w:t>
            </w:r>
          </w:p>
        </w:tc>
        <w:tc>
          <w:tcPr>
            <w:tcW w:w="1276" w:type="dxa"/>
            <w:tcBorders>
              <w:top w:val="nil"/>
              <w:left w:val="nil"/>
              <w:bottom w:val="nil"/>
              <w:right w:val="nil"/>
            </w:tcBorders>
          </w:tcPr>
          <w:p w14:paraId="3859FB80" w14:textId="0A1A5031" w:rsidR="00B04E1B" w:rsidRDefault="00B04E1B" w:rsidP="00C870B3">
            <w:pPr>
              <w:pStyle w:val="NoSpacing"/>
              <w:jc w:val="center"/>
              <w:rPr>
                <w:rFonts w:ascii="Arial" w:hAnsi="Arial" w:cs="Arial"/>
                <w:color w:val="6F6F6F"/>
                <w:lang w:val="nb-NO"/>
              </w:rPr>
            </w:pPr>
            <w:r>
              <w:rPr>
                <w:rFonts w:ascii="Arial" w:hAnsi="Arial" w:cs="Arial"/>
                <w:color w:val="6F6F6F"/>
                <w:lang w:val="nb-NO"/>
              </w:rPr>
              <w:t>n.r.</w:t>
            </w:r>
          </w:p>
        </w:tc>
      </w:tr>
      <w:tr w:rsidR="00B04E1B" w14:paraId="76723B8D" w14:textId="77777777" w:rsidTr="006C42D1">
        <w:trPr>
          <w:gridAfter w:val="1"/>
          <w:wAfter w:w="283" w:type="dxa"/>
          <w:jc w:val="center"/>
        </w:trPr>
        <w:tc>
          <w:tcPr>
            <w:tcW w:w="1830" w:type="dxa"/>
            <w:tcBorders>
              <w:top w:val="nil"/>
              <w:left w:val="nil"/>
              <w:bottom w:val="nil"/>
              <w:right w:val="nil"/>
            </w:tcBorders>
          </w:tcPr>
          <w:p w14:paraId="4D8B190B" w14:textId="4FC68016" w:rsidR="00B04E1B" w:rsidRPr="00E44D16" w:rsidRDefault="00B04E1B" w:rsidP="00D70D1C">
            <w:pPr>
              <w:pStyle w:val="NoSpacing"/>
              <w:rPr>
                <w:rFonts w:ascii="Arial" w:hAnsi="Arial" w:cs="Arial"/>
                <w:color w:val="6F6F6F"/>
                <w:sz w:val="20"/>
                <w:szCs w:val="20"/>
                <w:lang w:val="nb-NO"/>
              </w:rPr>
            </w:pPr>
            <w:r w:rsidRPr="00E44D16">
              <w:rPr>
                <w:rFonts w:ascii="Arial" w:hAnsi="Arial" w:cs="Arial"/>
                <w:color w:val="6F6F6F"/>
                <w:sz w:val="20"/>
                <w:szCs w:val="20"/>
                <w:lang w:val="nb-NO"/>
              </w:rPr>
              <w:t>% pruritus NRS</w:t>
            </w:r>
            <w:r w:rsidRPr="00E44D16">
              <w:rPr>
                <w:rFonts w:ascii="Arial" w:hAnsi="Arial" w:cs="Arial"/>
                <w:color w:val="6F6F6F"/>
                <w:sz w:val="20"/>
                <w:szCs w:val="20"/>
                <w:vertAlign w:val="superscript"/>
                <w:lang w:val="nb-NO"/>
              </w:rPr>
              <w:t>c</w:t>
            </w:r>
          </w:p>
        </w:tc>
        <w:tc>
          <w:tcPr>
            <w:tcW w:w="1006" w:type="dxa"/>
            <w:tcBorders>
              <w:top w:val="nil"/>
              <w:left w:val="nil"/>
              <w:bottom w:val="nil"/>
              <w:right w:val="nil"/>
            </w:tcBorders>
          </w:tcPr>
          <w:p w14:paraId="6C4C8878" w14:textId="725A90E2" w:rsidR="00B04E1B" w:rsidRDefault="00B04E1B" w:rsidP="00C870B3">
            <w:pPr>
              <w:pStyle w:val="NoSpacing"/>
              <w:jc w:val="center"/>
              <w:rPr>
                <w:rFonts w:ascii="Arial" w:hAnsi="Arial" w:cs="Arial"/>
                <w:color w:val="6F6F6F"/>
                <w:lang w:val="nb-NO"/>
              </w:rPr>
            </w:pPr>
            <w:r>
              <w:rPr>
                <w:rFonts w:ascii="Arial" w:hAnsi="Arial" w:cs="Arial"/>
                <w:color w:val="6F6F6F"/>
                <w:lang w:val="nb-NO"/>
              </w:rPr>
              <w:t>13</w:t>
            </w:r>
          </w:p>
        </w:tc>
        <w:tc>
          <w:tcPr>
            <w:tcW w:w="980" w:type="dxa"/>
            <w:tcBorders>
              <w:top w:val="nil"/>
              <w:left w:val="nil"/>
              <w:bottom w:val="nil"/>
              <w:right w:val="nil"/>
            </w:tcBorders>
          </w:tcPr>
          <w:p w14:paraId="4F1C5CC1" w14:textId="2218BDA4" w:rsidR="00B04E1B" w:rsidRDefault="00B04E1B" w:rsidP="00C870B3">
            <w:pPr>
              <w:pStyle w:val="NoSpacing"/>
              <w:jc w:val="center"/>
              <w:rPr>
                <w:rFonts w:ascii="Arial" w:hAnsi="Arial" w:cs="Arial"/>
                <w:color w:val="6F6F6F"/>
                <w:lang w:val="nb-NO"/>
              </w:rPr>
            </w:pPr>
            <w:r>
              <w:rPr>
                <w:rFonts w:ascii="Arial" w:hAnsi="Arial" w:cs="Arial"/>
                <w:color w:val="6F6F6F"/>
                <w:lang w:val="nb-NO"/>
              </w:rPr>
              <w:t>46***</w:t>
            </w:r>
          </w:p>
        </w:tc>
        <w:tc>
          <w:tcPr>
            <w:tcW w:w="863" w:type="dxa"/>
            <w:tcBorders>
              <w:top w:val="nil"/>
              <w:left w:val="nil"/>
              <w:bottom w:val="nil"/>
              <w:right w:val="nil"/>
            </w:tcBorders>
          </w:tcPr>
          <w:p w14:paraId="0E1F2704" w14:textId="0C8C1597" w:rsidR="00B04E1B" w:rsidRDefault="00B04E1B" w:rsidP="00C870B3">
            <w:pPr>
              <w:pStyle w:val="NoSpacing"/>
              <w:jc w:val="center"/>
              <w:rPr>
                <w:rFonts w:ascii="Arial" w:hAnsi="Arial" w:cs="Arial"/>
                <w:color w:val="6F6F6F"/>
                <w:lang w:val="nb-NO"/>
              </w:rPr>
            </w:pPr>
            <w:r>
              <w:rPr>
                <w:rFonts w:ascii="Arial" w:hAnsi="Arial" w:cs="Arial"/>
                <w:color w:val="6F6F6F"/>
                <w:lang w:val="nb-NO"/>
              </w:rPr>
              <w:t>12</w:t>
            </w:r>
          </w:p>
        </w:tc>
        <w:tc>
          <w:tcPr>
            <w:tcW w:w="850" w:type="dxa"/>
            <w:tcBorders>
              <w:top w:val="nil"/>
              <w:left w:val="nil"/>
              <w:bottom w:val="nil"/>
              <w:right w:val="single" w:sz="4" w:space="0" w:color="auto"/>
            </w:tcBorders>
          </w:tcPr>
          <w:p w14:paraId="5C288231" w14:textId="5810DFCA" w:rsidR="00B04E1B" w:rsidRDefault="00B04E1B" w:rsidP="00C870B3">
            <w:pPr>
              <w:pStyle w:val="NoSpacing"/>
              <w:jc w:val="center"/>
              <w:rPr>
                <w:rFonts w:ascii="Arial" w:hAnsi="Arial" w:cs="Arial"/>
                <w:color w:val="6F6F6F"/>
                <w:lang w:val="nb-NO"/>
              </w:rPr>
            </w:pPr>
            <w:r>
              <w:rPr>
                <w:rFonts w:ascii="Arial" w:hAnsi="Arial" w:cs="Arial"/>
                <w:color w:val="6F6F6F"/>
                <w:lang w:val="nb-NO"/>
              </w:rPr>
              <w:t>40***</w:t>
            </w:r>
          </w:p>
        </w:tc>
        <w:tc>
          <w:tcPr>
            <w:tcW w:w="1276" w:type="dxa"/>
            <w:tcBorders>
              <w:top w:val="nil"/>
              <w:left w:val="single" w:sz="4" w:space="0" w:color="auto"/>
              <w:bottom w:val="nil"/>
              <w:right w:val="nil"/>
            </w:tcBorders>
          </w:tcPr>
          <w:p w14:paraId="1917856B" w14:textId="5E1E7524" w:rsidR="00B04E1B" w:rsidRDefault="00B04E1B" w:rsidP="00C870B3">
            <w:pPr>
              <w:pStyle w:val="NoSpacing"/>
              <w:jc w:val="center"/>
              <w:rPr>
                <w:rFonts w:ascii="Arial" w:hAnsi="Arial" w:cs="Arial"/>
                <w:color w:val="6F6F6F"/>
                <w:lang w:val="nb-NO"/>
              </w:rPr>
            </w:pPr>
            <w:r>
              <w:rPr>
                <w:rFonts w:ascii="Arial" w:hAnsi="Arial" w:cs="Arial"/>
                <w:color w:val="6F6F6F"/>
                <w:lang w:val="nb-NO"/>
              </w:rPr>
              <w:t>66</w:t>
            </w:r>
          </w:p>
        </w:tc>
        <w:tc>
          <w:tcPr>
            <w:tcW w:w="1276" w:type="dxa"/>
            <w:tcBorders>
              <w:top w:val="nil"/>
              <w:left w:val="nil"/>
              <w:bottom w:val="nil"/>
              <w:right w:val="nil"/>
            </w:tcBorders>
          </w:tcPr>
          <w:p w14:paraId="05AA6F08" w14:textId="0B5BE019" w:rsidR="00B04E1B" w:rsidRDefault="00B04E1B" w:rsidP="00C870B3">
            <w:pPr>
              <w:pStyle w:val="NoSpacing"/>
              <w:jc w:val="center"/>
              <w:rPr>
                <w:rFonts w:ascii="Arial" w:hAnsi="Arial" w:cs="Arial"/>
                <w:color w:val="6F6F6F"/>
                <w:lang w:val="nb-NO"/>
              </w:rPr>
            </w:pPr>
            <w:r>
              <w:rPr>
                <w:rFonts w:ascii="Arial" w:hAnsi="Arial" w:cs="Arial"/>
                <w:color w:val="6F6F6F"/>
                <w:lang w:val="nb-NO"/>
              </w:rPr>
              <w:t>85</w:t>
            </w:r>
          </w:p>
        </w:tc>
      </w:tr>
      <w:tr w:rsidR="00B04E1B" w14:paraId="4A2071A8" w14:textId="77777777" w:rsidTr="006C42D1">
        <w:trPr>
          <w:gridAfter w:val="1"/>
          <w:wAfter w:w="283" w:type="dxa"/>
          <w:jc w:val="center"/>
        </w:trPr>
        <w:tc>
          <w:tcPr>
            <w:tcW w:w="1830" w:type="dxa"/>
            <w:tcBorders>
              <w:top w:val="nil"/>
              <w:left w:val="nil"/>
              <w:bottom w:val="nil"/>
              <w:right w:val="nil"/>
            </w:tcBorders>
          </w:tcPr>
          <w:p w14:paraId="33323090" w14:textId="11E7E32B" w:rsidR="00B04E1B" w:rsidRPr="009E56DB" w:rsidRDefault="00B04E1B" w:rsidP="00102F3C">
            <w:pPr>
              <w:pStyle w:val="NoSpacing"/>
              <w:jc w:val="right"/>
              <w:rPr>
                <w:rFonts w:ascii="Arial" w:hAnsi="Arial" w:cs="Arial"/>
                <w:color w:val="6F6F6F"/>
                <w:sz w:val="20"/>
                <w:szCs w:val="20"/>
                <w:lang w:val="nb-NO"/>
              </w:rPr>
            </w:pPr>
            <w:r w:rsidRPr="009E56DB">
              <w:rPr>
                <w:rFonts w:ascii="Arial" w:hAnsi="Arial" w:cs="Arial"/>
                <w:color w:val="6F6F6F"/>
                <w:sz w:val="20"/>
                <w:szCs w:val="20"/>
                <w:lang w:val="nb-NO"/>
              </w:rPr>
              <w:t>n =</w:t>
            </w:r>
          </w:p>
        </w:tc>
        <w:tc>
          <w:tcPr>
            <w:tcW w:w="1006" w:type="dxa"/>
            <w:tcBorders>
              <w:top w:val="nil"/>
              <w:left w:val="nil"/>
              <w:bottom w:val="nil"/>
              <w:right w:val="nil"/>
            </w:tcBorders>
          </w:tcPr>
          <w:p w14:paraId="277DE13A" w14:textId="5E093FE7" w:rsidR="00B04E1B" w:rsidRPr="009E56DB" w:rsidRDefault="00B04E1B" w:rsidP="00C870B3">
            <w:pPr>
              <w:pStyle w:val="NoSpacing"/>
              <w:jc w:val="center"/>
              <w:rPr>
                <w:rFonts w:ascii="Arial" w:hAnsi="Arial" w:cs="Arial"/>
                <w:color w:val="6F6F6F"/>
                <w:sz w:val="20"/>
                <w:szCs w:val="20"/>
                <w:lang w:val="nb-NO"/>
              </w:rPr>
            </w:pPr>
            <w:r w:rsidRPr="009E56DB">
              <w:rPr>
                <w:rFonts w:ascii="Arial" w:hAnsi="Arial" w:cs="Arial"/>
                <w:color w:val="6F6F6F"/>
                <w:sz w:val="20"/>
                <w:szCs w:val="20"/>
                <w:lang w:val="nb-NO"/>
              </w:rPr>
              <w:t>141</w:t>
            </w:r>
          </w:p>
        </w:tc>
        <w:tc>
          <w:tcPr>
            <w:tcW w:w="980" w:type="dxa"/>
            <w:tcBorders>
              <w:top w:val="nil"/>
              <w:left w:val="nil"/>
              <w:bottom w:val="nil"/>
              <w:right w:val="nil"/>
            </w:tcBorders>
          </w:tcPr>
          <w:p w14:paraId="23362A8A" w14:textId="183822BD" w:rsidR="00B04E1B" w:rsidRPr="00102F3C" w:rsidRDefault="00B04E1B" w:rsidP="00C870B3">
            <w:pPr>
              <w:pStyle w:val="NoSpacing"/>
              <w:jc w:val="center"/>
              <w:rPr>
                <w:rFonts w:ascii="Arial" w:hAnsi="Arial" w:cs="Arial"/>
                <w:color w:val="6F6F6F"/>
                <w:sz w:val="20"/>
                <w:szCs w:val="20"/>
                <w:lang w:val="nb-NO"/>
              </w:rPr>
            </w:pPr>
            <w:r w:rsidRPr="00102F3C">
              <w:rPr>
                <w:rFonts w:ascii="Arial" w:hAnsi="Arial" w:cs="Arial"/>
                <w:color w:val="6F6F6F"/>
                <w:sz w:val="20"/>
                <w:szCs w:val="20"/>
                <w:lang w:val="nb-NO"/>
              </w:rPr>
              <w:t>283</w:t>
            </w:r>
          </w:p>
        </w:tc>
        <w:tc>
          <w:tcPr>
            <w:tcW w:w="863" w:type="dxa"/>
            <w:tcBorders>
              <w:top w:val="nil"/>
              <w:left w:val="nil"/>
              <w:bottom w:val="nil"/>
              <w:right w:val="nil"/>
            </w:tcBorders>
          </w:tcPr>
          <w:p w14:paraId="700ABA02" w14:textId="69DEB1F6" w:rsidR="00B04E1B" w:rsidRPr="00102F3C" w:rsidRDefault="00B04E1B" w:rsidP="00C870B3">
            <w:pPr>
              <w:pStyle w:val="NoSpacing"/>
              <w:jc w:val="center"/>
              <w:rPr>
                <w:rFonts w:ascii="Arial" w:hAnsi="Arial" w:cs="Arial"/>
                <w:color w:val="6F6F6F"/>
                <w:sz w:val="20"/>
                <w:szCs w:val="20"/>
                <w:lang w:val="nb-NO"/>
              </w:rPr>
            </w:pPr>
            <w:r w:rsidRPr="00102F3C">
              <w:rPr>
                <w:rFonts w:ascii="Arial" w:hAnsi="Arial" w:cs="Arial"/>
                <w:color w:val="6F6F6F"/>
                <w:sz w:val="20"/>
                <w:szCs w:val="20"/>
                <w:lang w:val="nb-NO"/>
              </w:rPr>
              <w:t>146</w:t>
            </w:r>
          </w:p>
        </w:tc>
        <w:tc>
          <w:tcPr>
            <w:tcW w:w="850" w:type="dxa"/>
            <w:tcBorders>
              <w:top w:val="nil"/>
              <w:left w:val="nil"/>
              <w:bottom w:val="nil"/>
              <w:right w:val="single" w:sz="4" w:space="0" w:color="auto"/>
            </w:tcBorders>
          </w:tcPr>
          <w:p w14:paraId="668EE2AC" w14:textId="191FC382" w:rsidR="00B04E1B" w:rsidRPr="00102F3C" w:rsidRDefault="00B04E1B" w:rsidP="00C870B3">
            <w:pPr>
              <w:pStyle w:val="NoSpacing"/>
              <w:jc w:val="center"/>
              <w:rPr>
                <w:rFonts w:ascii="Arial" w:hAnsi="Arial" w:cs="Arial"/>
                <w:color w:val="6F6F6F"/>
                <w:sz w:val="20"/>
                <w:szCs w:val="20"/>
                <w:lang w:val="nb-NO"/>
              </w:rPr>
            </w:pPr>
            <w:r w:rsidRPr="00102F3C">
              <w:rPr>
                <w:rFonts w:ascii="Arial" w:hAnsi="Arial" w:cs="Arial"/>
                <w:color w:val="6F6F6F"/>
                <w:sz w:val="20"/>
                <w:szCs w:val="20"/>
                <w:lang w:val="nb-NO"/>
              </w:rPr>
              <w:t>281</w:t>
            </w:r>
          </w:p>
        </w:tc>
        <w:tc>
          <w:tcPr>
            <w:tcW w:w="1276" w:type="dxa"/>
            <w:tcBorders>
              <w:top w:val="nil"/>
              <w:left w:val="single" w:sz="4" w:space="0" w:color="auto"/>
              <w:bottom w:val="nil"/>
              <w:right w:val="nil"/>
            </w:tcBorders>
          </w:tcPr>
          <w:p w14:paraId="129ADBBF" w14:textId="2777B063" w:rsidR="00B04E1B" w:rsidRPr="00102F3C" w:rsidRDefault="00B04E1B" w:rsidP="00C870B3">
            <w:pPr>
              <w:pStyle w:val="NoSpacing"/>
              <w:jc w:val="center"/>
              <w:rPr>
                <w:rFonts w:ascii="Arial" w:hAnsi="Arial" w:cs="Arial"/>
                <w:color w:val="6F6F6F"/>
                <w:sz w:val="20"/>
                <w:szCs w:val="20"/>
                <w:lang w:val="nb-NO"/>
              </w:rPr>
            </w:pPr>
            <w:r w:rsidRPr="00102F3C">
              <w:rPr>
                <w:rFonts w:ascii="Arial" w:hAnsi="Arial" w:cs="Arial"/>
                <w:color w:val="6F6F6F"/>
                <w:sz w:val="20"/>
                <w:szCs w:val="20"/>
                <w:lang w:val="nb-NO"/>
              </w:rPr>
              <w:t>60</w:t>
            </w:r>
          </w:p>
        </w:tc>
        <w:tc>
          <w:tcPr>
            <w:tcW w:w="1276" w:type="dxa"/>
            <w:tcBorders>
              <w:top w:val="nil"/>
              <w:left w:val="nil"/>
              <w:bottom w:val="nil"/>
              <w:right w:val="nil"/>
            </w:tcBorders>
          </w:tcPr>
          <w:p w14:paraId="6E799A46" w14:textId="6F7DF628" w:rsidR="00B04E1B" w:rsidRPr="00102F3C" w:rsidRDefault="00B04E1B" w:rsidP="00C870B3">
            <w:pPr>
              <w:pStyle w:val="NoSpacing"/>
              <w:jc w:val="center"/>
              <w:rPr>
                <w:rFonts w:ascii="Arial" w:hAnsi="Arial" w:cs="Arial"/>
                <w:color w:val="6F6F6F"/>
                <w:sz w:val="20"/>
                <w:szCs w:val="20"/>
                <w:lang w:val="nb-NO"/>
              </w:rPr>
            </w:pPr>
            <w:r w:rsidRPr="00102F3C">
              <w:rPr>
                <w:rFonts w:ascii="Arial" w:hAnsi="Arial" w:cs="Arial"/>
                <w:color w:val="6F6F6F"/>
                <w:sz w:val="20"/>
                <w:szCs w:val="20"/>
                <w:lang w:val="nb-NO"/>
              </w:rPr>
              <w:t>109</w:t>
            </w:r>
          </w:p>
        </w:tc>
      </w:tr>
      <w:tr w:rsidR="004F55F5" w:rsidRPr="006164C8" w14:paraId="04149889" w14:textId="77777777" w:rsidTr="00860A7F">
        <w:trPr>
          <w:jc w:val="center"/>
        </w:trPr>
        <w:tc>
          <w:tcPr>
            <w:tcW w:w="8364" w:type="dxa"/>
            <w:gridSpan w:val="8"/>
            <w:tcBorders>
              <w:top w:val="nil"/>
              <w:left w:val="nil"/>
              <w:bottom w:val="nil"/>
              <w:right w:val="nil"/>
            </w:tcBorders>
          </w:tcPr>
          <w:p w14:paraId="686CA4DA" w14:textId="50BA40BC" w:rsidR="00953A15" w:rsidRPr="009F5587" w:rsidRDefault="004F55F5" w:rsidP="00D70D1C">
            <w:pPr>
              <w:pStyle w:val="NoSpacing"/>
              <w:rPr>
                <w:lang w:val="en-US"/>
              </w:rPr>
            </w:pPr>
            <w:r w:rsidRPr="00AC42B9">
              <w:rPr>
                <w:rFonts w:ascii="Arial" w:hAnsi="Arial" w:cs="Arial"/>
                <w:color w:val="6F6F6F"/>
                <w:sz w:val="16"/>
                <w:szCs w:val="16"/>
                <w:vertAlign w:val="superscript"/>
                <w:lang w:val="nb-NO"/>
              </w:rPr>
              <w:t>a</w:t>
            </w:r>
            <w:r w:rsidR="00D67EA3" w:rsidRPr="00AC42B9">
              <w:rPr>
                <w:rFonts w:ascii="Arial" w:hAnsi="Arial" w:cs="Arial"/>
                <w:color w:val="6F6F6F"/>
                <w:sz w:val="16"/>
                <w:szCs w:val="16"/>
                <w:lang w:val="nb-NO"/>
              </w:rPr>
              <w:t xml:space="preserve"> </w:t>
            </w:r>
            <w:r w:rsidR="004F4F2F">
              <w:rPr>
                <w:rFonts w:ascii="Arial" w:hAnsi="Arial" w:cs="Arial"/>
                <w:color w:val="6F6F6F"/>
                <w:sz w:val="16"/>
                <w:szCs w:val="16"/>
                <w:lang w:val="nb-NO"/>
              </w:rPr>
              <w:t>Week</w:t>
            </w:r>
            <w:r w:rsidR="00953A15">
              <w:rPr>
                <w:rFonts w:ascii="Arial" w:hAnsi="Arial" w:cs="Arial"/>
                <w:color w:val="6F6F6F"/>
                <w:sz w:val="16"/>
                <w:szCs w:val="16"/>
                <w:lang w:val="nb-NO"/>
              </w:rPr>
              <w:t xml:space="preserve"> 16 data: </w:t>
            </w:r>
            <w:r w:rsidR="009F5587">
              <w:rPr>
                <w:rFonts w:ascii="Arial" w:hAnsi="Arial" w:cs="Arial"/>
                <w:color w:val="6F6F6F"/>
                <w:sz w:val="16"/>
                <w:szCs w:val="16"/>
                <w:lang w:val="nb-NO"/>
              </w:rPr>
              <w:t>Participants with a</w:t>
            </w:r>
            <w:r w:rsidR="00D67EA3" w:rsidRPr="00AC42B9">
              <w:rPr>
                <w:rFonts w:ascii="Arial" w:hAnsi="Arial" w:cs="Arial"/>
                <w:color w:val="6F6F6F"/>
                <w:sz w:val="16"/>
                <w:szCs w:val="16"/>
                <w:lang w:val="nb-NO"/>
              </w:rPr>
              <w:t xml:space="preserve"> 75% </w:t>
            </w:r>
            <w:r w:rsidR="009F5587">
              <w:rPr>
                <w:rFonts w:ascii="Arial" w:hAnsi="Arial" w:cs="Arial"/>
                <w:color w:val="6F6F6F"/>
                <w:sz w:val="16"/>
                <w:szCs w:val="16"/>
                <w:lang w:val="nb-NO"/>
              </w:rPr>
              <w:t>reduction in</w:t>
            </w:r>
            <w:r w:rsidR="00D67EA3" w:rsidRPr="00AC42B9">
              <w:rPr>
                <w:rFonts w:ascii="Arial" w:hAnsi="Arial" w:cs="Arial"/>
                <w:color w:val="6F6F6F"/>
                <w:sz w:val="16"/>
                <w:szCs w:val="16"/>
                <w:lang w:val="nb-NO"/>
              </w:rPr>
              <w:t xml:space="preserve"> EASI fr</w:t>
            </w:r>
            <w:r w:rsidR="009F5587">
              <w:rPr>
                <w:rFonts w:ascii="Arial" w:hAnsi="Arial" w:cs="Arial"/>
                <w:color w:val="6F6F6F"/>
                <w:sz w:val="16"/>
                <w:szCs w:val="16"/>
                <w:lang w:val="nb-NO"/>
              </w:rPr>
              <w:t>om</w:t>
            </w:r>
            <w:r w:rsidR="00D67EA3" w:rsidRPr="00AC42B9">
              <w:rPr>
                <w:rFonts w:ascii="Arial" w:hAnsi="Arial" w:cs="Arial"/>
                <w:color w:val="6F6F6F"/>
                <w:sz w:val="16"/>
                <w:szCs w:val="16"/>
                <w:lang w:val="nb-NO"/>
              </w:rPr>
              <w:t xml:space="preserve"> baseline.</w:t>
            </w:r>
            <w:r w:rsidR="006C27A5" w:rsidRPr="009F5587">
              <w:rPr>
                <w:lang w:val="en-US"/>
              </w:rPr>
              <w:t xml:space="preserve"> </w:t>
            </w:r>
          </w:p>
          <w:p w14:paraId="2A075A64" w14:textId="5CAA4EE1" w:rsidR="004F55F5" w:rsidRPr="00AC42B9" w:rsidRDefault="00465C27" w:rsidP="00D70D1C">
            <w:pPr>
              <w:pStyle w:val="NoSpacing"/>
              <w:rPr>
                <w:rFonts w:ascii="Arial" w:hAnsi="Arial" w:cs="Arial"/>
                <w:color w:val="6F6F6F"/>
                <w:sz w:val="16"/>
                <w:szCs w:val="16"/>
                <w:lang w:val="nb-NO"/>
              </w:rPr>
            </w:pPr>
            <w:r w:rsidRPr="001F752A">
              <w:rPr>
                <w:rFonts w:ascii="Arial" w:hAnsi="Arial" w:cs="Arial"/>
                <w:color w:val="6F6F6F"/>
                <w:sz w:val="16"/>
                <w:szCs w:val="16"/>
                <w:lang w:val="en-US"/>
              </w:rPr>
              <w:t>W</w:t>
            </w:r>
            <w:r>
              <w:rPr>
                <w:rFonts w:ascii="Arial" w:hAnsi="Arial" w:cs="Arial"/>
                <w:color w:val="6F6F6F"/>
                <w:sz w:val="16"/>
                <w:szCs w:val="16"/>
                <w:lang w:val="nb-NO"/>
              </w:rPr>
              <w:t>eek</w:t>
            </w:r>
            <w:r w:rsidR="008951E1" w:rsidRPr="00AC42B9">
              <w:rPr>
                <w:rFonts w:ascii="Arial" w:hAnsi="Arial" w:cs="Arial"/>
                <w:color w:val="6F6F6F"/>
                <w:sz w:val="16"/>
                <w:szCs w:val="16"/>
                <w:lang w:val="nb-NO"/>
              </w:rPr>
              <w:t xml:space="preserve"> 52 data: </w:t>
            </w:r>
            <w:r w:rsidR="009F5587">
              <w:rPr>
                <w:rFonts w:ascii="Arial" w:hAnsi="Arial" w:cs="Arial"/>
                <w:color w:val="6F6F6F"/>
                <w:sz w:val="16"/>
                <w:szCs w:val="16"/>
                <w:lang w:val="nb-NO"/>
              </w:rPr>
              <w:t xml:space="preserve">Participants with an EASI 75 response at week 16 </w:t>
            </w:r>
            <w:r w:rsidR="001F752A">
              <w:rPr>
                <w:rFonts w:ascii="Arial" w:hAnsi="Arial" w:cs="Arial"/>
                <w:color w:val="6F6F6F"/>
                <w:sz w:val="16"/>
                <w:szCs w:val="16"/>
                <w:lang w:val="nb-NO"/>
              </w:rPr>
              <w:t>who maintained response at week 52.</w:t>
            </w:r>
          </w:p>
          <w:p w14:paraId="6EC68E64" w14:textId="0625DB08" w:rsidR="00D67EA3" w:rsidRPr="00AC42B9" w:rsidRDefault="00D67EA3" w:rsidP="00D70D1C">
            <w:pPr>
              <w:pStyle w:val="NoSpacing"/>
              <w:rPr>
                <w:rFonts w:ascii="Arial" w:hAnsi="Arial" w:cs="Arial"/>
                <w:color w:val="6F6F6F"/>
                <w:sz w:val="16"/>
                <w:szCs w:val="16"/>
                <w:lang w:val="nb-NO"/>
              </w:rPr>
            </w:pPr>
            <w:r w:rsidRPr="00AC42B9">
              <w:rPr>
                <w:rFonts w:ascii="Arial" w:hAnsi="Arial" w:cs="Arial"/>
                <w:color w:val="6F6F6F"/>
                <w:sz w:val="16"/>
                <w:szCs w:val="16"/>
                <w:vertAlign w:val="superscript"/>
                <w:lang w:val="nb-NO"/>
              </w:rPr>
              <w:t>b</w:t>
            </w:r>
            <w:r w:rsidRPr="00AC42B9">
              <w:rPr>
                <w:rFonts w:ascii="Arial" w:hAnsi="Arial" w:cs="Arial"/>
                <w:color w:val="6F6F6F"/>
                <w:sz w:val="16"/>
                <w:szCs w:val="16"/>
                <w:lang w:val="nb-NO"/>
              </w:rPr>
              <w:t xml:space="preserve"> </w:t>
            </w:r>
            <w:r w:rsidR="00A617E7">
              <w:rPr>
                <w:rFonts w:ascii="Arial" w:hAnsi="Arial" w:cs="Arial"/>
                <w:color w:val="6F6F6F"/>
                <w:sz w:val="16"/>
                <w:szCs w:val="16"/>
                <w:lang w:val="nb-NO"/>
              </w:rPr>
              <w:t xml:space="preserve">% patients with </w:t>
            </w:r>
            <w:r w:rsidR="00E77633" w:rsidRPr="00AC42B9">
              <w:rPr>
                <w:rFonts w:ascii="Arial" w:hAnsi="Arial" w:cs="Arial"/>
                <w:color w:val="6F6F6F"/>
                <w:sz w:val="16"/>
                <w:szCs w:val="16"/>
                <w:lang w:val="nb-NO"/>
              </w:rPr>
              <w:t>≥ 4-p</w:t>
            </w:r>
            <w:r w:rsidR="001F752A">
              <w:rPr>
                <w:rFonts w:ascii="Arial" w:hAnsi="Arial" w:cs="Arial"/>
                <w:color w:val="6F6F6F"/>
                <w:sz w:val="16"/>
                <w:szCs w:val="16"/>
                <w:lang w:val="nb-NO"/>
              </w:rPr>
              <w:t xml:space="preserve">oint improvement </w:t>
            </w:r>
            <w:r w:rsidR="00E77633" w:rsidRPr="00AC42B9">
              <w:rPr>
                <w:rFonts w:ascii="Arial" w:hAnsi="Arial" w:cs="Arial"/>
                <w:color w:val="6F6F6F"/>
                <w:sz w:val="16"/>
                <w:szCs w:val="16"/>
                <w:lang w:val="nb-NO"/>
              </w:rPr>
              <w:t xml:space="preserve">. </w:t>
            </w:r>
            <w:r w:rsidR="007738E7">
              <w:rPr>
                <w:rFonts w:ascii="Arial" w:hAnsi="Arial" w:cs="Arial"/>
                <w:color w:val="6F6F6F"/>
                <w:sz w:val="16"/>
                <w:szCs w:val="16"/>
                <w:lang w:val="nb-NO"/>
              </w:rPr>
              <w:t>Only participants with a</w:t>
            </w:r>
            <w:r w:rsidRPr="00AC42B9">
              <w:rPr>
                <w:rFonts w:ascii="Arial" w:hAnsi="Arial" w:cs="Arial"/>
                <w:color w:val="6F6F6F"/>
                <w:sz w:val="16"/>
                <w:szCs w:val="16"/>
                <w:lang w:val="nb-NO"/>
              </w:rPr>
              <w:t xml:space="preserve"> baseline DLQI ≥ 4</w:t>
            </w:r>
            <w:r w:rsidR="007738E7">
              <w:rPr>
                <w:rFonts w:ascii="Arial" w:hAnsi="Arial" w:cs="Arial"/>
                <w:color w:val="6F6F6F"/>
                <w:sz w:val="16"/>
                <w:szCs w:val="16"/>
                <w:lang w:val="nb-NO"/>
              </w:rPr>
              <w:t xml:space="preserve"> were included</w:t>
            </w:r>
            <w:r w:rsidRPr="00AC42B9">
              <w:rPr>
                <w:rFonts w:ascii="Arial" w:hAnsi="Arial" w:cs="Arial"/>
                <w:color w:val="6F6F6F"/>
                <w:sz w:val="16"/>
                <w:szCs w:val="16"/>
                <w:lang w:val="nb-NO"/>
              </w:rPr>
              <w:t>.</w:t>
            </w:r>
          </w:p>
          <w:p w14:paraId="41707C9D" w14:textId="2DA03869" w:rsidR="009E56DB" w:rsidRPr="00AC42B9" w:rsidRDefault="009E56DB" w:rsidP="00D70D1C">
            <w:pPr>
              <w:pStyle w:val="NoSpacing"/>
              <w:rPr>
                <w:rFonts w:ascii="Arial" w:hAnsi="Arial" w:cs="Arial"/>
                <w:color w:val="6F6F6F"/>
                <w:sz w:val="16"/>
                <w:szCs w:val="16"/>
                <w:lang w:val="nb-NO"/>
              </w:rPr>
            </w:pPr>
            <w:r w:rsidRPr="00AC42B9">
              <w:rPr>
                <w:rFonts w:ascii="Arial" w:hAnsi="Arial" w:cs="Arial"/>
                <w:color w:val="6F6F6F"/>
                <w:sz w:val="16"/>
                <w:szCs w:val="16"/>
                <w:vertAlign w:val="superscript"/>
                <w:lang w:val="nb-NO"/>
              </w:rPr>
              <w:t>c</w:t>
            </w:r>
            <w:r w:rsidRPr="00AC42B9">
              <w:rPr>
                <w:rFonts w:ascii="Arial" w:hAnsi="Arial" w:cs="Arial"/>
                <w:color w:val="6F6F6F"/>
                <w:sz w:val="16"/>
                <w:szCs w:val="16"/>
                <w:lang w:val="nb-NO"/>
              </w:rPr>
              <w:t xml:space="preserve"> </w:t>
            </w:r>
            <w:r w:rsidR="00A617E7">
              <w:rPr>
                <w:rFonts w:ascii="Arial" w:hAnsi="Arial" w:cs="Arial"/>
                <w:color w:val="6F6F6F"/>
                <w:sz w:val="16"/>
                <w:szCs w:val="16"/>
                <w:lang w:val="nb-NO"/>
              </w:rPr>
              <w:t xml:space="preserve">% patients with </w:t>
            </w:r>
            <w:r w:rsidR="00851E8C" w:rsidRPr="00AC42B9">
              <w:rPr>
                <w:rFonts w:ascii="Arial" w:hAnsi="Arial" w:cs="Arial"/>
                <w:color w:val="6F6F6F"/>
                <w:sz w:val="16"/>
                <w:szCs w:val="16"/>
                <w:lang w:val="nb-NO"/>
              </w:rPr>
              <w:t>≥ 4-</w:t>
            </w:r>
            <w:r w:rsidR="007738E7" w:rsidRPr="00AC42B9">
              <w:rPr>
                <w:rFonts w:ascii="Arial" w:hAnsi="Arial" w:cs="Arial"/>
                <w:color w:val="6F6F6F"/>
                <w:sz w:val="16"/>
                <w:szCs w:val="16"/>
                <w:lang w:val="nb-NO"/>
              </w:rPr>
              <w:t>p</w:t>
            </w:r>
            <w:r w:rsidR="007738E7">
              <w:rPr>
                <w:rFonts w:ascii="Arial" w:hAnsi="Arial" w:cs="Arial"/>
                <w:color w:val="6F6F6F"/>
                <w:sz w:val="16"/>
                <w:szCs w:val="16"/>
                <w:lang w:val="nb-NO"/>
              </w:rPr>
              <w:t>oint improvement</w:t>
            </w:r>
            <w:r w:rsidR="00851E8C" w:rsidRPr="00AC42B9">
              <w:rPr>
                <w:rFonts w:ascii="Arial" w:hAnsi="Arial" w:cs="Arial"/>
                <w:color w:val="6F6F6F"/>
                <w:sz w:val="16"/>
                <w:szCs w:val="16"/>
                <w:lang w:val="nb-NO"/>
              </w:rPr>
              <w:t xml:space="preserve">. </w:t>
            </w:r>
            <w:r w:rsidR="007738E7">
              <w:rPr>
                <w:rFonts w:ascii="Arial" w:hAnsi="Arial" w:cs="Arial"/>
                <w:color w:val="6F6F6F"/>
                <w:sz w:val="16"/>
                <w:szCs w:val="16"/>
                <w:lang w:val="nb-NO"/>
              </w:rPr>
              <w:t>Only participants with a</w:t>
            </w:r>
            <w:r w:rsidR="007738E7" w:rsidRPr="00AC42B9">
              <w:rPr>
                <w:rFonts w:ascii="Arial" w:hAnsi="Arial" w:cs="Arial"/>
                <w:color w:val="6F6F6F"/>
                <w:sz w:val="16"/>
                <w:szCs w:val="16"/>
                <w:lang w:val="nb-NO"/>
              </w:rPr>
              <w:t xml:space="preserve"> baseline </w:t>
            </w:r>
            <w:r w:rsidR="007738E7">
              <w:rPr>
                <w:rFonts w:ascii="Arial" w:hAnsi="Arial" w:cs="Arial"/>
                <w:color w:val="6F6F6F"/>
                <w:sz w:val="16"/>
                <w:szCs w:val="16"/>
                <w:lang w:val="nb-NO"/>
              </w:rPr>
              <w:t>Pruiritus NRS</w:t>
            </w:r>
            <w:r w:rsidR="007738E7" w:rsidRPr="00AC42B9">
              <w:rPr>
                <w:rFonts w:ascii="Arial" w:hAnsi="Arial" w:cs="Arial"/>
                <w:color w:val="6F6F6F"/>
                <w:sz w:val="16"/>
                <w:szCs w:val="16"/>
                <w:lang w:val="nb-NO"/>
              </w:rPr>
              <w:t xml:space="preserve"> ≥ 4</w:t>
            </w:r>
            <w:r w:rsidR="007738E7">
              <w:rPr>
                <w:rFonts w:ascii="Arial" w:hAnsi="Arial" w:cs="Arial"/>
                <w:color w:val="6F6F6F"/>
                <w:sz w:val="16"/>
                <w:szCs w:val="16"/>
                <w:lang w:val="nb-NO"/>
              </w:rPr>
              <w:t xml:space="preserve"> were included</w:t>
            </w:r>
            <w:r w:rsidRPr="00AC42B9">
              <w:rPr>
                <w:rFonts w:ascii="Arial" w:hAnsi="Arial" w:cs="Arial"/>
                <w:color w:val="6F6F6F"/>
                <w:sz w:val="16"/>
                <w:szCs w:val="16"/>
                <w:lang w:val="nb-NO"/>
              </w:rPr>
              <w:t>.</w:t>
            </w:r>
          </w:p>
          <w:p w14:paraId="0BFD00CE" w14:textId="15F3063E" w:rsidR="00D67EA3" w:rsidRDefault="00F47E03" w:rsidP="00D70D1C">
            <w:pPr>
              <w:pStyle w:val="NoSpacing"/>
              <w:rPr>
                <w:rFonts w:ascii="Arial" w:hAnsi="Arial" w:cs="Arial"/>
                <w:color w:val="6F6F6F"/>
                <w:lang w:val="nb-NO"/>
              </w:rPr>
            </w:pPr>
            <w:r w:rsidRPr="00AC42B9">
              <w:rPr>
                <w:rFonts w:ascii="Arial" w:hAnsi="Arial" w:cs="Arial"/>
                <w:color w:val="6F6F6F"/>
                <w:sz w:val="16"/>
                <w:szCs w:val="16"/>
                <w:lang w:val="nb-NO"/>
              </w:rPr>
              <w:t xml:space="preserve">* p &lt; 0,05 </w:t>
            </w:r>
            <w:r w:rsidR="007738E7">
              <w:rPr>
                <w:rFonts w:ascii="Arial" w:hAnsi="Arial" w:cs="Arial"/>
                <w:color w:val="6F6F6F"/>
                <w:sz w:val="16"/>
                <w:szCs w:val="16"/>
                <w:lang w:val="nb-NO"/>
              </w:rPr>
              <w:t>versus</w:t>
            </w:r>
            <w:r w:rsidRPr="00AC42B9">
              <w:rPr>
                <w:rFonts w:ascii="Arial" w:hAnsi="Arial" w:cs="Arial"/>
                <w:color w:val="6F6F6F"/>
                <w:sz w:val="16"/>
                <w:szCs w:val="16"/>
                <w:lang w:val="nb-NO"/>
              </w:rPr>
              <w:t xml:space="preserve"> placebo</w:t>
            </w:r>
            <w:r>
              <w:rPr>
                <w:rFonts w:ascii="Arial" w:hAnsi="Arial" w:cs="Arial"/>
                <w:color w:val="6F6F6F"/>
                <w:sz w:val="16"/>
                <w:szCs w:val="16"/>
                <w:lang w:val="nb-NO"/>
              </w:rPr>
              <w:t>,</w:t>
            </w:r>
            <w:r w:rsidRPr="00AC42B9">
              <w:rPr>
                <w:rFonts w:ascii="Arial" w:hAnsi="Arial" w:cs="Arial"/>
                <w:color w:val="6F6F6F"/>
                <w:sz w:val="16"/>
                <w:szCs w:val="16"/>
                <w:lang w:val="nb-NO"/>
              </w:rPr>
              <w:t xml:space="preserve"> </w:t>
            </w:r>
            <w:r w:rsidR="00D67EA3" w:rsidRPr="00AC42B9">
              <w:rPr>
                <w:rFonts w:ascii="Arial" w:hAnsi="Arial" w:cs="Arial"/>
                <w:color w:val="6F6F6F"/>
                <w:sz w:val="16"/>
                <w:szCs w:val="16"/>
                <w:lang w:val="nb-NO"/>
              </w:rPr>
              <w:t xml:space="preserve">*** p &lt; 0,001 </w:t>
            </w:r>
            <w:r w:rsidR="007738E7">
              <w:rPr>
                <w:rFonts w:ascii="Arial" w:hAnsi="Arial" w:cs="Arial"/>
                <w:color w:val="6F6F6F"/>
                <w:sz w:val="16"/>
                <w:szCs w:val="16"/>
                <w:lang w:val="nb-NO"/>
              </w:rPr>
              <w:t>versus</w:t>
            </w:r>
            <w:r w:rsidR="00D67EA3" w:rsidRPr="00AC42B9">
              <w:rPr>
                <w:rFonts w:ascii="Arial" w:hAnsi="Arial" w:cs="Arial"/>
                <w:color w:val="6F6F6F"/>
                <w:sz w:val="16"/>
                <w:szCs w:val="16"/>
                <w:lang w:val="nb-NO"/>
              </w:rPr>
              <w:t xml:space="preserve"> placebo</w:t>
            </w:r>
            <w:r w:rsidR="005911A2" w:rsidRPr="00AC42B9">
              <w:rPr>
                <w:rFonts w:ascii="Arial" w:hAnsi="Arial" w:cs="Arial"/>
                <w:color w:val="6F6F6F"/>
                <w:sz w:val="16"/>
                <w:szCs w:val="16"/>
                <w:lang w:val="nb-NO"/>
              </w:rPr>
              <w:t xml:space="preserve">, n.r. </w:t>
            </w:r>
            <w:r w:rsidR="00463ED8">
              <w:rPr>
                <w:rFonts w:ascii="Arial" w:hAnsi="Arial" w:cs="Arial"/>
                <w:color w:val="6F6F6F"/>
                <w:sz w:val="16"/>
                <w:szCs w:val="16"/>
                <w:lang w:val="nb-NO"/>
              </w:rPr>
              <w:t>not reported</w:t>
            </w:r>
          </w:p>
        </w:tc>
      </w:tr>
    </w:tbl>
    <w:p w14:paraId="6F70CCFB" w14:textId="5E6829AF" w:rsidR="00082211" w:rsidRDefault="001A5F20" w:rsidP="00AC42B9">
      <w:pPr>
        <w:pStyle w:val="NoSpacing"/>
        <w:spacing w:before="120" w:after="120"/>
        <w:rPr>
          <w:rFonts w:ascii="Arial" w:hAnsi="Arial" w:cs="Arial"/>
          <w:color w:val="6F6F6F"/>
          <w:lang w:val="nb-NO"/>
        </w:rPr>
      </w:pPr>
      <w:r w:rsidRPr="001A5F20">
        <w:rPr>
          <w:rFonts w:ascii="Arial" w:hAnsi="Arial" w:cs="Arial"/>
          <w:color w:val="6F6F6F"/>
          <w:lang w:val="nb-NO"/>
        </w:rPr>
        <w:t xml:space="preserve">Patients who responded to 250 mg Q2W </w:t>
      </w:r>
      <w:r w:rsidR="00E86D6B">
        <w:rPr>
          <w:rFonts w:ascii="Arial" w:hAnsi="Arial" w:cs="Arial"/>
          <w:color w:val="6F6F6F"/>
          <w:lang w:val="nb-NO"/>
        </w:rPr>
        <w:t>LEBRIKIZUMAB</w:t>
      </w:r>
      <w:r w:rsidRPr="001A5F20">
        <w:rPr>
          <w:rFonts w:ascii="Arial" w:hAnsi="Arial" w:cs="Arial"/>
          <w:color w:val="6F6F6F"/>
          <w:lang w:val="nb-NO"/>
        </w:rPr>
        <w:t xml:space="preserve"> treatment at week 16 were re-randomized to placebo and 250 mg Q2W or Q4W</w:t>
      </w:r>
      <w:r w:rsidR="005A4B7A">
        <w:rPr>
          <w:rFonts w:ascii="Arial" w:hAnsi="Arial" w:cs="Arial"/>
          <w:color w:val="6F6F6F"/>
          <w:lang w:val="nb-NO"/>
        </w:rPr>
        <w:t>.</w:t>
      </w:r>
      <w:r w:rsidR="005A4B7A">
        <w:rPr>
          <w:rFonts w:ascii="Arial" w:hAnsi="Arial" w:cs="Arial"/>
          <w:color w:val="6F6F6F"/>
          <w:vertAlign w:val="superscript"/>
          <w:lang w:val="nb-NO"/>
        </w:rPr>
        <w:t>1,14</w:t>
      </w:r>
      <w:r w:rsidR="00CA74A4" w:rsidRPr="00CA74A4">
        <w:rPr>
          <w:rFonts w:ascii="Arial" w:hAnsi="Arial" w:cs="Arial"/>
          <w:color w:val="6F6F6F"/>
          <w:lang w:val="nb-NO"/>
        </w:rPr>
        <w:t xml:space="preserve"> </w:t>
      </w:r>
      <w:r w:rsidR="00966875">
        <w:rPr>
          <w:rFonts w:ascii="Arial" w:hAnsi="Arial" w:cs="Arial"/>
          <w:color w:val="6F6F6F"/>
          <w:lang w:val="nb-NO"/>
        </w:rPr>
        <w:t xml:space="preserve">Treatment response was defined as  </w:t>
      </w:r>
      <w:r w:rsidR="00CA74A4" w:rsidRPr="00CA74A4">
        <w:rPr>
          <w:rFonts w:ascii="Arial" w:hAnsi="Arial" w:cs="Arial"/>
          <w:color w:val="6F6F6F"/>
          <w:lang w:val="nb-NO"/>
        </w:rPr>
        <w:t xml:space="preserve">EASI 75 </w:t>
      </w:r>
      <w:r w:rsidR="00966875">
        <w:rPr>
          <w:rFonts w:ascii="Arial" w:hAnsi="Arial" w:cs="Arial"/>
          <w:color w:val="6F6F6F"/>
          <w:lang w:val="nb-NO"/>
        </w:rPr>
        <w:t>and</w:t>
      </w:r>
      <w:r w:rsidR="00CA74A4" w:rsidRPr="00CA74A4">
        <w:rPr>
          <w:rFonts w:ascii="Arial" w:hAnsi="Arial" w:cs="Arial"/>
          <w:color w:val="6F6F6F"/>
          <w:lang w:val="nb-NO"/>
        </w:rPr>
        <w:t>/</w:t>
      </w:r>
      <w:r w:rsidR="00966875">
        <w:rPr>
          <w:rFonts w:ascii="Arial" w:hAnsi="Arial" w:cs="Arial"/>
          <w:color w:val="6F6F6F"/>
          <w:lang w:val="nb-NO"/>
        </w:rPr>
        <w:t>or</w:t>
      </w:r>
      <w:r w:rsidR="00CA74A4" w:rsidRPr="00CA74A4">
        <w:rPr>
          <w:rFonts w:ascii="Arial" w:hAnsi="Arial" w:cs="Arial"/>
          <w:color w:val="6F6F6F"/>
          <w:lang w:val="nb-NO"/>
        </w:rPr>
        <w:t xml:space="preserve"> IGA 0/1 </w:t>
      </w:r>
      <w:r w:rsidR="00966875">
        <w:rPr>
          <w:rFonts w:ascii="Arial" w:hAnsi="Arial" w:cs="Arial"/>
          <w:color w:val="6F6F6F"/>
          <w:lang w:val="nb-NO"/>
        </w:rPr>
        <w:t xml:space="preserve">without use of local or systemic </w:t>
      </w:r>
      <w:r w:rsidR="00DD5B52">
        <w:rPr>
          <w:rFonts w:ascii="Arial" w:hAnsi="Arial" w:cs="Arial"/>
          <w:color w:val="6F6F6F"/>
          <w:lang w:val="nb-NO"/>
        </w:rPr>
        <w:t>rescue therapy.</w:t>
      </w:r>
      <w:r w:rsidR="00CA74A4" w:rsidRPr="00CA74A4">
        <w:rPr>
          <w:rFonts w:ascii="Arial" w:hAnsi="Arial" w:cs="Arial"/>
          <w:color w:val="6F6F6F"/>
          <w:lang w:val="nb-NO"/>
        </w:rPr>
        <w:t xml:space="preserve"> </w:t>
      </w:r>
      <w:r w:rsidR="00966875" w:rsidRPr="00966875">
        <w:rPr>
          <w:rFonts w:ascii="Arial" w:hAnsi="Arial" w:cs="Arial"/>
          <w:color w:val="6F6F6F"/>
          <w:lang w:val="nb-NO"/>
        </w:rPr>
        <w:t xml:space="preserve">After 52 weeks, </w:t>
      </w:r>
      <w:r w:rsidR="00060E80">
        <w:rPr>
          <w:rFonts w:ascii="Arial" w:hAnsi="Arial" w:cs="Arial"/>
          <w:color w:val="6F6F6F"/>
          <w:lang w:val="nb-NO"/>
        </w:rPr>
        <w:t>82</w:t>
      </w:r>
      <w:r w:rsidR="00966875" w:rsidRPr="00966875">
        <w:rPr>
          <w:rFonts w:ascii="Arial" w:hAnsi="Arial" w:cs="Arial"/>
          <w:color w:val="6F6F6F"/>
          <w:lang w:val="nb-NO"/>
        </w:rPr>
        <w:t xml:space="preserve">% and </w:t>
      </w:r>
      <w:r w:rsidR="00060E80">
        <w:rPr>
          <w:rFonts w:ascii="Arial" w:hAnsi="Arial" w:cs="Arial"/>
          <w:color w:val="6F6F6F"/>
          <w:lang w:val="nb-NO"/>
        </w:rPr>
        <w:t>78</w:t>
      </w:r>
      <w:r w:rsidR="00966875" w:rsidRPr="00966875">
        <w:rPr>
          <w:rFonts w:ascii="Arial" w:hAnsi="Arial" w:cs="Arial"/>
          <w:color w:val="6F6F6F"/>
          <w:lang w:val="nb-NO"/>
        </w:rPr>
        <w:t xml:space="preserve">% of patients treated with 250 mg </w:t>
      </w:r>
      <w:r w:rsidR="00E86D6B">
        <w:rPr>
          <w:rFonts w:ascii="Arial" w:hAnsi="Arial" w:cs="Arial"/>
          <w:color w:val="6F6F6F"/>
          <w:lang w:val="nb-NO"/>
        </w:rPr>
        <w:t>LEBRIKIZUMAB</w:t>
      </w:r>
      <w:r w:rsidR="00966875" w:rsidRPr="00966875">
        <w:rPr>
          <w:rFonts w:ascii="Arial" w:hAnsi="Arial" w:cs="Arial"/>
          <w:color w:val="6F6F6F"/>
          <w:lang w:val="nb-NO"/>
        </w:rPr>
        <w:t xml:space="preserve"> Q</w:t>
      </w:r>
      <w:r w:rsidR="00060E80">
        <w:rPr>
          <w:rFonts w:ascii="Arial" w:hAnsi="Arial" w:cs="Arial"/>
          <w:color w:val="6F6F6F"/>
          <w:lang w:val="nb-NO"/>
        </w:rPr>
        <w:t>4</w:t>
      </w:r>
      <w:r w:rsidR="00966875" w:rsidRPr="00966875">
        <w:rPr>
          <w:rFonts w:ascii="Arial" w:hAnsi="Arial" w:cs="Arial"/>
          <w:color w:val="6F6F6F"/>
          <w:lang w:val="nb-NO"/>
        </w:rPr>
        <w:t>W and Q</w:t>
      </w:r>
      <w:r w:rsidR="00060E80">
        <w:rPr>
          <w:rFonts w:ascii="Arial" w:hAnsi="Arial" w:cs="Arial"/>
          <w:color w:val="6F6F6F"/>
          <w:lang w:val="nb-NO"/>
        </w:rPr>
        <w:t>2</w:t>
      </w:r>
      <w:r w:rsidR="00966875" w:rsidRPr="00966875">
        <w:rPr>
          <w:rFonts w:ascii="Arial" w:hAnsi="Arial" w:cs="Arial"/>
          <w:color w:val="6F6F6F"/>
          <w:lang w:val="nb-NO"/>
        </w:rPr>
        <w:t>W respectively maintained EASI 75, while 66% of patients receiving placebo maintained EASI 75</w:t>
      </w:r>
      <w:r w:rsidR="00CA74A4" w:rsidRPr="00CA74A4">
        <w:rPr>
          <w:rFonts w:ascii="Arial" w:hAnsi="Arial" w:cs="Arial"/>
          <w:color w:val="6F6F6F"/>
          <w:lang w:val="nb-NO"/>
        </w:rPr>
        <w:t xml:space="preserve"> (</w:t>
      </w:r>
      <w:r w:rsidR="00A348FF" w:rsidRPr="00A348FF">
        <w:rPr>
          <w:rFonts w:ascii="Arial" w:hAnsi="Arial" w:cs="Arial"/>
          <w:color w:val="00BEA0"/>
          <w:lang w:val="nb-NO"/>
        </w:rPr>
        <w:t>tabel 1</w:t>
      </w:r>
      <w:r w:rsidR="00A348FF">
        <w:rPr>
          <w:rFonts w:ascii="Arial" w:hAnsi="Arial" w:cs="Arial"/>
          <w:color w:val="6F6F6F"/>
          <w:lang w:val="nb-NO"/>
        </w:rPr>
        <w:t xml:space="preserve">, </w:t>
      </w:r>
      <w:r w:rsidR="00CA74A4" w:rsidRPr="00A348FF">
        <w:rPr>
          <w:rFonts w:ascii="Arial" w:hAnsi="Arial" w:cs="Arial"/>
          <w:color w:val="00BEA0"/>
          <w:lang w:val="nb-NO"/>
        </w:rPr>
        <w:t>figur</w:t>
      </w:r>
      <w:r w:rsidR="00966875">
        <w:rPr>
          <w:rFonts w:ascii="Arial" w:hAnsi="Arial" w:cs="Arial"/>
          <w:color w:val="00BEA0"/>
          <w:lang w:val="nb-NO"/>
        </w:rPr>
        <w:t>e</w:t>
      </w:r>
      <w:r w:rsidR="00CA74A4" w:rsidRPr="00A348FF">
        <w:rPr>
          <w:rFonts w:ascii="Arial" w:hAnsi="Arial" w:cs="Arial"/>
          <w:color w:val="00BEA0"/>
          <w:lang w:val="nb-NO"/>
        </w:rPr>
        <w:t xml:space="preserve"> 3c</w:t>
      </w:r>
      <w:r w:rsidR="00CA74A4" w:rsidRPr="00CA74A4">
        <w:rPr>
          <w:rFonts w:ascii="Arial" w:hAnsi="Arial" w:cs="Arial"/>
          <w:color w:val="6F6F6F"/>
          <w:lang w:val="nb-NO"/>
        </w:rPr>
        <w:t>).</w:t>
      </w:r>
    </w:p>
    <w:tbl>
      <w:tblPr>
        <w:tblStyle w:val="TableGrid"/>
        <w:tblW w:w="0" w:type="auto"/>
        <w:jc w:val="center"/>
        <w:tblLook w:val="04A0" w:firstRow="1" w:lastRow="0" w:firstColumn="1" w:lastColumn="0" w:noHBand="0" w:noVBand="1"/>
      </w:tblPr>
      <w:tblGrid>
        <w:gridCol w:w="420"/>
        <w:gridCol w:w="4154"/>
        <w:gridCol w:w="426"/>
        <w:gridCol w:w="4140"/>
      </w:tblGrid>
      <w:tr w:rsidR="001E1F80" w14:paraId="129793BA" w14:textId="77777777" w:rsidTr="003D59C6">
        <w:trPr>
          <w:jc w:val="center"/>
        </w:trPr>
        <w:tc>
          <w:tcPr>
            <w:tcW w:w="420" w:type="dxa"/>
            <w:tcBorders>
              <w:top w:val="nil"/>
              <w:left w:val="nil"/>
              <w:bottom w:val="nil"/>
              <w:right w:val="nil"/>
            </w:tcBorders>
          </w:tcPr>
          <w:p w14:paraId="08AFA508" w14:textId="3F9BF105" w:rsidR="001918EC" w:rsidRDefault="008C1BE1" w:rsidP="00082211">
            <w:pPr>
              <w:pStyle w:val="NoSpacing"/>
              <w:keepNext/>
              <w:keepLines/>
              <w:rPr>
                <w:rFonts w:ascii="Arial" w:hAnsi="Arial" w:cs="Arial"/>
                <w:color w:val="6F6F6F"/>
                <w:lang w:val="nb-NO"/>
              </w:rPr>
            </w:pPr>
            <w:r w:rsidRPr="004B5A20">
              <w:rPr>
                <w:rFonts w:ascii="Arial" w:hAnsi="Arial" w:cs="Arial"/>
                <w:noProof/>
                <w:color w:val="00BEA0"/>
                <w:sz w:val="20"/>
                <w:szCs w:val="20"/>
                <w:lang w:val="nb-NO"/>
              </w:rPr>
              <w:t>a)</w:t>
            </w:r>
          </w:p>
        </w:tc>
        <w:tc>
          <w:tcPr>
            <w:tcW w:w="4147" w:type="dxa"/>
            <w:tcBorders>
              <w:top w:val="nil"/>
              <w:left w:val="nil"/>
              <w:bottom w:val="nil"/>
              <w:right w:val="nil"/>
            </w:tcBorders>
          </w:tcPr>
          <w:p w14:paraId="555AE175" w14:textId="58693048" w:rsidR="001918EC" w:rsidRDefault="001458C0" w:rsidP="00082211">
            <w:pPr>
              <w:pStyle w:val="NoSpacing"/>
              <w:keepNext/>
              <w:keepLines/>
              <w:rPr>
                <w:rFonts w:ascii="Arial" w:hAnsi="Arial" w:cs="Arial"/>
                <w:color w:val="6F6F6F"/>
                <w:lang w:val="nb-NO"/>
              </w:rPr>
            </w:pPr>
            <w:r>
              <w:rPr>
                <w:rFonts w:ascii="Arial" w:hAnsi="Arial" w:cs="Arial"/>
                <w:noProof/>
                <w:color w:val="6F6F6F"/>
                <w:lang w:val="nb-NO"/>
              </w:rPr>
              <w:drawing>
                <wp:inline distT="0" distB="0" distL="0" distR="0" wp14:anchorId="4179D1D1" wp14:editId="3378BCC3">
                  <wp:extent cx="2379119" cy="2340000"/>
                  <wp:effectExtent l="0" t="0" r="2540" b="0"/>
                  <wp:docPr id="19020493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9119" cy="2340000"/>
                          </a:xfrm>
                          <a:prstGeom prst="rect">
                            <a:avLst/>
                          </a:prstGeom>
                          <a:noFill/>
                        </pic:spPr>
                      </pic:pic>
                    </a:graphicData>
                  </a:graphic>
                </wp:inline>
              </w:drawing>
            </w:r>
          </w:p>
        </w:tc>
        <w:tc>
          <w:tcPr>
            <w:tcW w:w="426" w:type="dxa"/>
            <w:tcBorders>
              <w:top w:val="nil"/>
              <w:left w:val="nil"/>
              <w:bottom w:val="nil"/>
              <w:right w:val="nil"/>
            </w:tcBorders>
          </w:tcPr>
          <w:p w14:paraId="1A883AE2" w14:textId="532FE377" w:rsidR="001918EC" w:rsidRDefault="008C1BE1" w:rsidP="00082211">
            <w:pPr>
              <w:pStyle w:val="NoSpacing"/>
              <w:keepNext/>
              <w:keepLines/>
              <w:rPr>
                <w:rFonts w:ascii="Arial" w:hAnsi="Arial" w:cs="Arial"/>
                <w:color w:val="6F6F6F"/>
                <w:lang w:val="nb-NO"/>
              </w:rPr>
            </w:pPr>
            <w:r w:rsidRPr="004B5A20">
              <w:rPr>
                <w:rFonts w:ascii="Arial" w:hAnsi="Arial" w:cs="Arial"/>
                <w:noProof/>
                <w:color w:val="00BEA0"/>
                <w:sz w:val="20"/>
                <w:szCs w:val="20"/>
                <w:lang w:val="nb-NO"/>
              </w:rPr>
              <w:t>b)</w:t>
            </w:r>
          </w:p>
        </w:tc>
        <w:tc>
          <w:tcPr>
            <w:tcW w:w="4118" w:type="dxa"/>
            <w:tcBorders>
              <w:top w:val="nil"/>
              <w:left w:val="nil"/>
              <w:bottom w:val="nil"/>
              <w:right w:val="nil"/>
            </w:tcBorders>
          </w:tcPr>
          <w:p w14:paraId="7747A526" w14:textId="2D5B8598" w:rsidR="001918EC" w:rsidRDefault="00BE0435" w:rsidP="00082211">
            <w:pPr>
              <w:pStyle w:val="NoSpacing"/>
              <w:keepNext/>
              <w:keepLines/>
              <w:rPr>
                <w:rFonts w:ascii="Arial" w:hAnsi="Arial" w:cs="Arial"/>
                <w:color w:val="6F6F6F"/>
                <w:lang w:val="nb-NO"/>
              </w:rPr>
            </w:pPr>
            <w:r>
              <w:rPr>
                <w:rFonts w:ascii="Arial" w:hAnsi="Arial" w:cs="Arial"/>
                <w:noProof/>
                <w:color w:val="6F6F6F"/>
                <w:lang w:val="nb-NO"/>
              </w:rPr>
              <w:drawing>
                <wp:inline distT="0" distB="0" distL="0" distR="0" wp14:anchorId="1CEADC0A" wp14:editId="709C33B6">
                  <wp:extent cx="2383067" cy="2340000"/>
                  <wp:effectExtent l="0" t="0" r="0" b="0"/>
                  <wp:docPr id="18906367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3067" cy="2340000"/>
                          </a:xfrm>
                          <a:prstGeom prst="rect">
                            <a:avLst/>
                          </a:prstGeom>
                          <a:noFill/>
                        </pic:spPr>
                      </pic:pic>
                    </a:graphicData>
                  </a:graphic>
                </wp:inline>
              </w:drawing>
            </w:r>
          </w:p>
        </w:tc>
      </w:tr>
      <w:tr w:rsidR="003E4854" w14:paraId="11F2DC50" w14:textId="77777777" w:rsidTr="003D59C6">
        <w:trPr>
          <w:jc w:val="center"/>
        </w:trPr>
        <w:tc>
          <w:tcPr>
            <w:tcW w:w="420" w:type="dxa"/>
            <w:tcBorders>
              <w:top w:val="nil"/>
              <w:left w:val="nil"/>
              <w:bottom w:val="nil"/>
              <w:right w:val="nil"/>
            </w:tcBorders>
          </w:tcPr>
          <w:p w14:paraId="5C0AEFDB" w14:textId="14EC2BFB" w:rsidR="003E4854" w:rsidRDefault="003E4854" w:rsidP="00082211">
            <w:pPr>
              <w:pStyle w:val="NoSpacing"/>
              <w:keepNext/>
              <w:keepLines/>
              <w:rPr>
                <w:rFonts w:ascii="Arial" w:hAnsi="Arial" w:cs="Arial"/>
                <w:color w:val="6F6F6F"/>
                <w:lang w:val="nb-NO"/>
              </w:rPr>
            </w:pPr>
            <w:r w:rsidRPr="004B5A20">
              <w:rPr>
                <w:rFonts w:ascii="Arial" w:hAnsi="Arial" w:cs="Arial"/>
                <w:noProof/>
                <w:color w:val="00BEA0"/>
                <w:sz w:val="20"/>
                <w:szCs w:val="20"/>
                <w:lang w:val="nb-NO"/>
              </w:rPr>
              <w:t>c)</w:t>
            </w:r>
          </w:p>
        </w:tc>
        <w:tc>
          <w:tcPr>
            <w:tcW w:w="8691" w:type="dxa"/>
            <w:gridSpan w:val="3"/>
            <w:tcBorders>
              <w:top w:val="nil"/>
              <w:left w:val="nil"/>
              <w:bottom w:val="nil"/>
              <w:right w:val="nil"/>
            </w:tcBorders>
          </w:tcPr>
          <w:p w14:paraId="1D16E243" w14:textId="6D086C46" w:rsidR="003E4854" w:rsidRDefault="000B43B4" w:rsidP="00082211">
            <w:pPr>
              <w:pStyle w:val="NoSpacing"/>
              <w:keepNext/>
              <w:keepLines/>
              <w:rPr>
                <w:rFonts w:ascii="Arial" w:hAnsi="Arial" w:cs="Arial"/>
                <w:color w:val="6F6F6F"/>
                <w:lang w:val="nb-NO"/>
              </w:rPr>
            </w:pPr>
            <w:r w:rsidRPr="000B43B4">
              <w:rPr>
                <w:rFonts w:ascii="Arial" w:hAnsi="Arial" w:cs="Arial"/>
                <w:noProof/>
                <w:color w:val="6F6F6F"/>
                <w:lang w:val="nb-NO"/>
              </w:rPr>
              <w:drawing>
                <wp:inline distT="0" distB="0" distL="0" distR="0" wp14:anchorId="772EB07D" wp14:editId="01962F06">
                  <wp:extent cx="5396400" cy="2253600"/>
                  <wp:effectExtent l="0" t="0" r="0" b="0"/>
                  <wp:docPr id="189647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73641" name=""/>
                          <pic:cNvPicPr/>
                        </pic:nvPicPr>
                        <pic:blipFill rotWithShape="1">
                          <a:blip r:embed="rId17"/>
                          <a:srcRect l="882"/>
                          <a:stretch/>
                        </pic:blipFill>
                        <pic:spPr bwMode="auto">
                          <a:xfrm>
                            <a:off x="0" y="0"/>
                            <a:ext cx="5396400" cy="2253600"/>
                          </a:xfrm>
                          <a:prstGeom prst="rect">
                            <a:avLst/>
                          </a:prstGeom>
                          <a:ln>
                            <a:noFill/>
                          </a:ln>
                          <a:extLst>
                            <a:ext uri="{53640926-AAD7-44D8-BBD7-CCE9431645EC}">
                              <a14:shadowObscured xmlns:a14="http://schemas.microsoft.com/office/drawing/2010/main"/>
                            </a:ext>
                          </a:extLst>
                        </pic:spPr>
                      </pic:pic>
                    </a:graphicData>
                  </a:graphic>
                </wp:inline>
              </w:drawing>
            </w:r>
          </w:p>
        </w:tc>
      </w:tr>
      <w:tr w:rsidR="002C5097" w:rsidRPr="006164C8" w14:paraId="6CB5388B" w14:textId="77777777" w:rsidTr="003D59C6">
        <w:trPr>
          <w:jc w:val="center"/>
        </w:trPr>
        <w:tc>
          <w:tcPr>
            <w:tcW w:w="9111" w:type="dxa"/>
            <w:gridSpan w:val="4"/>
            <w:tcBorders>
              <w:top w:val="nil"/>
              <w:left w:val="nil"/>
              <w:bottom w:val="nil"/>
              <w:right w:val="nil"/>
            </w:tcBorders>
          </w:tcPr>
          <w:p w14:paraId="7717F23E" w14:textId="411679DD" w:rsidR="002C5097" w:rsidRDefault="002C5097" w:rsidP="00082211">
            <w:pPr>
              <w:pStyle w:val="NoSpacing"/>
              <w:keepNext/>
              <w:keepLines/>
              <w:rPr>
                <w:rFonts w:ascii="Arial" w:hAnsi="Arial" w:cs="Arial"/>
                <w:noProof/>
                <w:color w:val="6F6F6F"/>
                <w:lang w:val="nb-NO"/>
              </w:rPr>
            </w:pPr>
            <w:r w:rsidRPr="00E43C94">
              <w:rPr>
                <w:rFonts w:ascii="Arial" w:hAnsi="Arial" w:cs="Arial"/>
                <w:noProof/>
                <w:color w:val="00BEA0"/>
                <w:sz w:val="20"/>
                <w:szCs w:val="20"/>
                <w:lang w:val="nb-NO"/>
              </w:rPr>
              <w:t>Figur</w:t>
            </w:r>
            <w:r w:rsidR="00DD5B52">
              <w:rPr>
                <w:rFonts w:ascii="Arial" w:hAnsi="Arial" w:cs="Arial"/>
                <w:noProof/>
                <w:color w:val="00BEA0"/>
                <w:sz w:val="20"/>
                <w:szCs w:val="20"/>
                <w:lang w:val="nb-NO"/>
              </w:rPr>
              <w:t>e</w:t>
            </w:r>
            <w:r w:rsidRPr="00E43C94">
              <w:rPr>
                <w:rFonts w:ascii="Arial" w:hAnsi="Arial" w:cs="Arial"/>
                <w:noProof/>
                <w:color w:val="00BEA0"/>
                <w:sz w:val="20"/>
                <w:szCs w:val="20"/>
                <w:lang w:val="nb-NO"/>
              </w:rPr>
              <w:t xml:space="preserve"> 3. EASI 75 respons</w:t>
            </w:r>
            <w:r w:rsidR="00DD5B52">
              <w:rPr>
                <w:rFonts w:ascii="Arial" w:hAnsi="Arial" w:cs="Arial"/>
                <w:noProof/>
                <w:color w:val="00BEA0"/>
                <w:sz w:val="20"/>
                <w:szCs w:val="20"/>
                <w:lang w:val="nb-NO"/>
              </w:rPr>
              <w:t>e</w:t>
            </w:r>
            <w:r w:rsidRPr="00E43C94">
              <w:rPr>
                <w:rFonts w:ascii="Arial" w:hAnsi="Arial" w:cs="Arial"/>
                <w:noProof/>
                <w:color w:val="00BEA0"/>
                <w:sz w:val="20"/>
                <w:szCs w:val="20"/>
                <w:lang w:val="nb-NO"/>
              </w:rPr>
              <w:t xml:space="preserve"> </w:t>
            </w:r>
            <w:r w:rsidR="00123A94">
              <w:rPr>
                <w:rFonts w:ascii="Arial" w:hAnsi="Arial" w:cs="Arial"/>
                <w:noProof/>
                <w:color w:val="00BEA0"/>
                <w:sz w:val="20"/>
                <w:szCs w:val="20"/>
                <w:lang w:val="nb-NO"/>
              </w:rPr>
              <w:t>i</w:t>
            </w:r>
            <w:r w:rsidR="00DD5B52">
              <w:rPr>
                <w:rFonts w:ascii="Arial" w:hAnsi="Arial" w:cs="Arial"/>
                <w:noProof/>
                <w:color w:val="00BEA0"/>
                <w:sz w:val="20"/>
                <w:szCs w:val="20"/>
                <w:lang w:val="nb-NO"/>
              </w:rPr>
              <w:t>n</w:t>
            </w:r>
            <w:r w:rsidR="00123A94">
              <w:rPr>
                <w:rFonts w:ascii="Arial" w:hAnsi="Arial" w:cs="Arial"/>
                <w:noProof/>
                <w:color w:val="00BEA0"/>
                <w:sz w:val="20"/>
                <w:szCs w:val="20"/>
                <w:lang w:val="nb-NO"/>
              </w:rPr>
              <w:t xml:space="preserve"> ADvocate monot</w:t>
            </w:r>
            <w:r w:rsidR="00DD5B52">
              <w:rPr>
                <w:rFonts w:ascii="Arial" w:hAnsi="Arial" w:cs="Arial"/>
                <w:noProof/>
                <w:color w:val="00BEA0"/>
                <w:sz w:val="20"/>
                <w:szCs w:val="20"/>
                <w:lang w:val="nb-NO"/>
              </w:rPr>
              <w:t>h</w:t>
            </w:r>
            <w:r w:rsidR="00123A94">
              <w:rPr>
                <w:rFonts w:ascii="Arial" w:hAnsi="Arial" w:cs="Arial"/>
                <w:noProof/>
                <w:color w:val="00BEA0"/>
                <w:sz w:val="20"/>
                <w:szCs w:val="20"/>
                <w:lang w:val="nb-NO"/>
              </w:rPr>
              <w:t>erap</w:t>
            </w:r>
            <w:r w:rsidR="00DD5B52">
              <w:rPr>
                <w:rFonts w:ascii="Arial" w:hAnsi="Arial" w:cs="Arial"/>
                <w:noProof/>
                <w:color w:val="00BEA0"/>
                <w:sz w:val="20"/>
                <w:szCs w:val="20"/>
                <w:lang w:val="nb-NO"/>
              </w:rPr>
              <w:t>y studies at week</w:t>
            </w:r>
            <w:r w:rsidR="00E43C94" w:rsidRPr="00E43C94">
              <w:rPr>
                <w:rFonts w:ascii="Arial" w:hAnsi="Arial" w:cs="Arial"/>
                <w:noProof/>
                <w:color w:val="00BEA0"/>
                <w:sz w:val="20"/>
                <w:szCs w:val="20"/>
                <w:lang w:val="nb-NO"/>
              </w:rPr>
              <w:t xml:space="preserve"> 16 </w:t>
            </w:r>
            <w:r w:rsidR="00DD5B52">
              <w:rPr>
                <w:rFonts w:ascii="Arial" w:hAnsi="Arial" w:cs="Arial"/>
                <w:noProof/>
                <w:color w:val="00BEA0"/>
                <w:sz w:val="20"/>
                <w:szCs w:val="20"/>
                <w:lang w:val="nb-NO"/>
              </w:rPr>
              <w:t>and</w:t>
            </w:r>
            <w:r w:rsidR="00E43C94" w:rsidRPr="00E43C94">
              <w:rPr>
                <w:rFonts w:ascii="Arial" w:hAnsi="Arial" w:cs="Arial"/>
                <w:noProof/>
                <w:color w:val="00BEA0"/>
                <w:sz w:val="20"/>
                <w:szCs w:val="20"/>
                <w:lang w:val="nb-NO"/>
              </w:rPr>
              <w:t xml:space="preserve"> 52.</w:t>
            </w:r>
            <w:r w:rsidR="00366972">
              <w:rPr>
                <w:rFonts w:ascii="Arial" w:hAnsi="Arial" w:cs="Arial"/>
                <w:noProof/>
                <w:color w:val="00BEA0"/>
                <w:sz w:val="20"/>
                <w:szCs w:val="20"/>
                <w:vertAlign w:val="superscript"/>
                <w:lang w:val="nb-NO"/>
              </w:rPr>
              <w:t>13,14</w:t>
            </w:r>
            <w:r w:rsidR="005B7D8A">
              <w:rPr>
                <w:rFonts w:ascii="Arial" w:hAnsi="Arial" w:cs="Arial"/>
                <w:noProof/>
                <w:color w:val="00BEA0"/>
                <w:sz w:val="20"/>
                <w:szCs w:val="20"/>
                <w:lang w:val="nb-NO"/>
              </w:rPr>
              <w:t xml:space="preserve"> </w:t>
            </w:r>
            <w:r w:rsidR="005B7D8A" w:rsidRPr="005B7D8A">
              <w:rPr>
                <w:rFonts w:ascii="Arial" w:hAnsi="Arial" w:cs="Arial"/>
                <w:noProof/>
                <w:color w:val="00BEA0"/>
                <w:sz w:val="20"/>
                <w:szCs w:val="20"/>
                <w:lang w:val="nb-NO"/>
              </w:rPr>
              <w:t>*p</w:t>
            </w:r>
            <w:r w:rsidR="00601DA8">
              <w:rPr>
                <w:rFonts w:ascii="Arial" w:hAnsi="Arial" w:cs="Arial"/>
                <w:noProof/>
                <w:color w:val="00BEA0"/>
                <w:sz w:val="20"/>
                <w:szCs w:val="20"/>
                <w:lang w:val="nb-NO"/>
              </w:rPr>
              <w:t xml:space="preserve"> </w:t>
            </w:r>
            <w:r w:rsidR="005B7D8A" w:rsidRPr="005B7D8A">
              <w:rPr>
                <w:rFonts w:ascii="Arial" w:hAnsi="Arial" w:cs="Arial"/>
                <w:noProof/>
                <w:color w:val="00BEA0"/>
                <w:sz w:val="20"/>
                <w:szCs w:val="20"/>
                <w:lang w:val="nb-NO"/>
              </w:rPr>
              <w:t>≤</w:t>
            </w:r>
            <w:r w:rsidR="00601DA8">
              <w:rPr>
                <w:rFonts w:ascii="Arial" w:hAnsi="Arial" w:cs="Arial"/>
                <w:noProof/>
                <w:color w:val="00BEA0"/>
                <w:sz w:val="20"/>
                <w:szCs w:val="20"/>
                <w:lang w:val="nb-NO"/>
              </w:rPr>
              <w:t xml:space="preserve"> 0</w:t>
            </w:r>
            <w:r w:rsidR="00B101A3">
              <w:rPr>
                <w:rFonts w:ascii="Arial" w:hAnsi="Arial" w:cs="Arial"/>
                <w:noProof/>
                <w:color w:val="00BEA0"/>
                <w:sz w:val="20"/>
                <w:szCs w:val="20"/>
                <w:lang w:val="nb-NO"/>
              </w:rPr>
              <w:t>,</w:t>
            </w:r>
            <w:r w:rsidR="005B7D8A" w:rsidRPr="005B7D8A">
              <w:rPr>
                <w:rFonts w:ascii="Arial" w:hAnsi="Arial" w:cs="Arial"/>
                <w:noProof/>
                <w:color w:val="00BEA0"/>
                <w:sz w:val="20"/>
                <w:szCs w:val="20"/>
                <w:lang w:val="nb-NO"/>
              </w:rPr>
              <w:t>05, **p</w:t>
            </w:r>
            <w:r w:rsidR="00601DA8">
              <w:rPr>
                <w:rFonts w:ascii="Arial" w:hAnsi="Arial" w:cs="Arial"/>
                <w:noProof/>
                <w:color w:val="00BEA0"/>
                <w:sz w:val="20"/>
                <w:szCs w:val="20"/>
                <w:lang w:val="nb-NO"/>
              </w:rPr>
              <w:t xml:space="preserve"> </w:t>
            </w:r>
            <w:r w:rsidR="005B7D8A" w:rsidRPr="005B7D8A">
              <w:rPr>
                <w:rFonts w:ascii="Arial" w:hAnsi="Arial" w:cs="Arial"/>
                <w:noProof/>
                <w:color w:val="00BEA0"/>
                <w:sz w:val="20"/>
                <w:szCs w:val="20"/>
                <w:lang w:val="nb-NO"/>
              </w:rPr>
              <w:t>≤</w:t>
            </w:r>
            <w:r w:rsidR="00601DA8">
              <w:rPr>
                <w:rFonts w:ascii="Arial" w:hAnsi="Arial" w:cs="Arial"/>
                <w:noProof/>
                <w:color w:val="00BEA0"/>
                <w:sz w:val="20"/>
                <w:szCs w:val="20"/>
                <w:lang w:val="nb-NO"/>
              </w:rPr>
              <w:t xml:space="preserve"> 0</w:t>
            </w:r>
            <w:r w:rsidR="00B101A3">
              <w:rPr>
                <w:rFonts w:ascii="Arial" w:hAnsi="Arial" w:cs="Arial"/>
                <w:noProof/>
                <w:color w:val="00BEA0"/>
                <w:sz w:val="20"/>
                <w:szCs w:val="20"/>
                <w:lang w:val="nb-NO"/>
              </w:rPr>
              <w:t>,</w:t>
            </w:r>
            <w:r w:rsidR="005B7D8A" w:rsidRPr="005B7D8A">
              <w:rPr>
                <w:rFonts w:ascii="Arial" w:hAnsi="Arial" w:cs="Arial"/>
                <w:noProof/>
                <w:color w:val="00BEA0"/>
                <w:sz w:val="20"/>
                <w:szCs w:val="20"/>
                <w:lang w:val="nb-NO"/>
              </w:rPr>
              <w:t>01, ***p</w:t>
            </w:r>
            <w:r w:rsidR="00601DA8">
              <w:rPr>
                <w:rFonts w:ascii="Arial" w:hAnsi="Arial" w:cs="Arial"/>
                <w:noProof/>
                <w:color w:val="00BEA0"/>
                <w:sz w:val="20"/>
                <w:szCs w:val="20"/>
                <w:lang w:val="nb-NO"/>
              </w:rPr>
              <w:t xml:space="preserve"> </w:t>
            </w:r>
            <w:r w:rsidR="005B7D8A" w:rsidRPr="005B7D8A">
              <w:rPr>
                <w:rFonts w:ascii="Arial" w:hAnsi="Arial" w:cs="Arial"/>
                <w:noProof/>
                <w:color w:val="00BEA0"/>
                <w:sz w:val="20"/>
                <w:szCs w:val="20"/>
                <w:lang w:val="nb-NO"/>
              </w:rPr>
              <w:t>≤</w:t>
            </w:r>
            <w:r w:rsidR="00601DA8">
              <w:rPr>
                <w:rFonts w:ascii="Arial" w:hAnsi="Arial" w:cs="Arial"/>
                <w:noProof/>
                <w:color w:val="00BEA0"/>
                <w:sz w:val="20"/>
                <w:szCs w:val="20"/>
                <w:lang w:val="nb-NO"/>
              </w:rPr>
              <w:t xml:space="preserve"> 0</w:t>
            </w:r>
            <w:r w:rsidR="00B101A3">
              <w:rPr>
                <w:rFonts w:ascii="Arial" w:hAnsi="Arial" w:cs="Arial"/>
                <w:noProof/>
                <w:color w:val="00BEA0"/>
                <w:sz w:val="20"/>
                <w:szCs w:val="20"/>
                <w:lang w:val="nb-NO"/>
              </w:rPr>
              <w:t>,</w:t>
            </w:r>
            <w:r w:rsidR="005B7D8A" w:rsidRPr="005B7D8A">
              <w:rPr>
                <w:rFonts w:ascii="Arial" w:hAnsi="Arial" w:cs="Arial"/>
                <w:noProof/>
                <w:color w:val="00BEA0"/>
                <w:sz w:val="20"/>
                <w:szCs w:val="20"/>
                <w:lang w:val="nb-NO"/>
              </w:rPr>
              <w:t>001</w:t>
            </w:r>
            <w:r w:rsidR="003A3ED4">
              <w:rPr>
                <w:rFonts w:ascii="Arial" w:hAnsi="Arial" w:cs="Arial"/>
                <w:noProof/>
                <w:color w:val="00BEA0"/>
                <w:sz w:val="20"/>
                <w:szCs w:val="20"/>
                <w:lang w:val="nb-NO"/>
              </w:rPr>
              <w:t xml:space="preserve"> </w:t>
            </w:r>
            <w:r w:rsidR="00DD5B52">
              <w:rPr>
                <w:rFonts w:ascii="Arial" w:hAnsi="Arial" w:cs="Arial"/>
                <w:noProof/>
                <w:color w:val="00BEA0"/>
                <w:sz w:val="20"/>
                <w:szCs w:val="20"/>
                <w:lang w:val="nb-NO"/>
              </w:rPr>
              <w:t>versus</w:t>
            </w:r>
            <w:r w:rsidR="003A3ED4">
              <w:rPr>
                <w:rFonts w:ascii="Arial" w:hAnsi="Arial" w:cs="Arial"/>
                <w:noProof/>
                <w:color w:val="00BEA0"/>
                <w:sz w:val="20"/>
                <w:szCs w:val="20"/>
                <w:lang w:val="nb-NO"/>
              </w:rPr>
              <w:t xml:space="preserve"> placebo.</w:t>
            </w:r>
          </w:p>
        </w:tc>
      </w:tr>
    </w:tbl>
    <w:p w14:paraId="03B03A68" w14:textId="77777777" w:rsidR="00082211" w:rsidRDefault="00082211" w:rsidP="00D70D1C">
      <w:pPr>
        <w:pStyle w:val="NoSpacing"/>
        <w:rPr>
          <w:rFonts w:ascii="Arial" w:hAnsi="Arial" w:cs="Arial"/>
          <w:color w:val="6F6F6F"/>
          <w:lang w:val="nb-NO"/>
        </w:rPr>
      </w:pPr>
    </w:p>
    <w:p w14:paraId="19048057" w14:textId="5AAB91E9" w:rsidR="009E56DB" w:rsidRDefault="00E86D6B" w:rsidP="00D43E66">
      <w:pPr>
        <w:pStyle w:val="NoSpacing"/>
        <w:spacing w:after="120"/>
        <w:rPr>
          <w:rFonts w:ascii="Arial" w:hAnsi="Arial" w:cs="Arial"/>
          <w:color w:val="6F6F6F"/>
          <w:lang w:val="nb-NO"/>
        </w:rPr>
      </w:pPr>
      <w:r>
        <w:rPr>
          <w:rFonts w:ascii="Arial" w:hAnsi="Arial" w:cs="Arial"/>
          <w:color w:val="6F6F6F"/>
          <w:lang w:val="nb-NO"/>
        </w:rPr>
        <w:lastRenderedPageBreak/>
        <w:t>LEBRIKIZUMAB</w:t>
      </w:r>
      <w:r w:rsidR="00930327" w:rsidRPr="00930327">
        <w:rPr>
          <w:rFonts w:ascii="Arial" w:hAnsi="Arial" w:cs="Arial"/>
          <w:color w:val="6F6F6F"/>
          <w:lang w:val="nb-NO"/>
        </w:rPr>
        <w:t xml:space="preserve"> in combination with topical corticosteroids (TCS) treatment was evaluated in the ADhere study</w:t>
      </w:r>
      <w:r w:rsidR="00B5304D">
        <w:rPr>
          <w:rFonts w:ascii="Arial" w:hAnsi="Arial" w:cs="Arial"/>
          <w:color w:val="6F6F6F"/>
          <w:lang w:val="nb-NO"/>
        </w:rPr>
        <w:t>.</w:t>
      </w:r>
      <w:r w:rsidR="00F147C1">
        <w:rPr>
          <w:rFonts w:ascii="Arial" w:hAnsi="Arial" w:cs="Arial"/>
          <w:color w:val="6F6F6F"/>
          <w:vertAlign w:val="superscript"/>
          <w:lang w:val="nb-NO"/>
        </w:rPr>
        <w:t>1,15</w:t>
      </w:r>
      <w:r w:rsidR="00B5304D">
        <w:rPr>
          <w:rFonts w:ascii="Arial" w:hAnsi="Arial" w:cs="Arial"/>
          <w:color w:val="6F6F6F"/>
          <w:lang w:val="nb-NO"/>
        </w:rPr>
        <w:t xml:space="preserve"> </w:t>
      </w:r>
      <w:r w:rsidR="009D3417" w:rsidRPr="009D3417">
        <w:rPr>
          <w:rFonts w:ascii="Arial" w:hAnsi="Arial" w:cs="Arial"/>
          <w:color w:val="6F6F6F"/>
          <w:lang w:val="nb-NO"/>
        </w:rPr>
        <w:t xml:space="preserve">In ADhere, patients were randomized to either placebo +TCS or 250 mg </w:t>
      </w:r>
      <w:r>
        <w:rPr>
          <w:rFonts w:ascii="Arial" w:hAnsi="Arial" w:cs="Arial"/>
          <w:color w:val="6F6F6F"/>
          <w:lang w:val="nb-NO"/>
        </w:rPr>
        <w:t>LEBRIKIZUMAB</w:t>
      </w:r>
      <w:r w:rsidR="009D3417" w:rsidRPr="009D3417">
        <w:rPr>
          <w:rFonts w:ascii="Arial" w:hAnsi="Arial" w:cs="Arial"/>
          <w:color w:val="6F6F6F"/>
          <w:lang w:val="nb-NO"/>
        </w:rPr>
        <w:t xml:space="preserve"> Q2W +TCS for 16 weeks</w:t>
      </w:r>
      <w:r w:rsidR="009D3417">
        <w:rPr>
          <w:rFonts w:ascii="Arial" w:hAnsi="Arial" w:cs="Arial"/>
          <w:color w:val="6F6F6F"/>
          <w:lang w:val="nb-NO"/>
        </w:rPr>
        <w:t>.</w:t>
      </w:r>
      <w:r w:rsidR="00F147C1">
        <w:rPr>
          <w:rFonts w:ascii="Arial" w:hAnsi="Arial" w:cs="Arial"/>
          <w:color w:val="6F6F6F"/>
          <w:vertAlign w:val="superscript"/>
          <w:lang w:val="nb-NO"/>
        </w:rPr>
        <w:t>15</w:t>
      </w:r>
      <w:r w:rsidR="006F272B" w:rsidRPr="00FE08B8">
        <w:rPr>
          <w:rFonts w:ascii="Arial" w:hAnsi="Arial" w:cs="Arial"/>
          <w:color w:val="6F6F6F"/>
          <w:lang w:val="nb-NO"/>
        </w:rPr>
        <w:t xml:space="preserve"> </w:t>
      </w:r>
      <w:r w:rsidR="00437B31" w:rsidRPr="00437B31">
        <w:rPr>
          <w:rFonts w:ascii="Arial" w:hAnsi="Arial" w:cs="Arial"/>
          <w:color w:val="6F6F6F"/>
          <w:lang w:val="nb-NO"/>
        </w:rPr>
        <w:t xml:space="preserve">At week 16, a statistically significant proportion of patients treated with </w:t>
      </w:r>
      <w:r>
        <w:rPr>
          <w:rFonts w:ascii="Arial" w:hAnsi="Arial" w:cs="Arial"/>
          <w:color w:val="6F6F6F"/>
          <w:lang w:val="nb-NO"/>
        </w:rPr>
        <w:t>LEBRIKIZUMAB</w:t>
      </w:r>
      <w:r w:rsidR="00437B31" w:rsidRPr="00437B31">
        <w:rPr>
          <w:rFonts w:ascii="Arial" w:hAnsi="Arial" w:cs="Arial"/>
          <w:color w:val="6F6F6F"/>
          <w:lang w:val="nb-NO"/>
        </w:rPr>
        <w:t xml:space="preserve"> +TCS achieved improvement in EASI 75 compared to placebo +TCS (70% vs. 42%). </w:t>
      </w:r>
      <w:r w:rsidR="00AF6074">
        <w:rPr>
          <w:rFonts w:ascii="Arial" w:hAnsi="Arial" w:cs="Arial"/>
          <w:color w:val="6F6F6F"/>
          <w:lang w:val="nb-NO"/>
        </w:rPr>
        <w:t>(</w:t>
      </w:r>
      <w:r w:rsidR="00AF6074" w:rsidRPr="00AF6074">
        <w:rPr>
          <w:rFonts w:ascii="Arial" w:hAnsi="Arial" w:cs="Arial"/>
          <w:color w:val="00BEA0"/>
          <w:lang w:val="nb-NO"/>
        </w:rPr>
        <w:t>figur</w:t>
      </w:r>
      <w:r w:rsidR="00437B31">
        <w:rPr>
          <w:rFonts w:ascii="Arial" w:hAnsi="Arial" w:cs="Arial"/>
          <w:color w:val="00BEA0"/>
          <w:lang w:val="nb-NO"/>
        </w:rPr>
        <w:t>e</w:t>
      </w:r>
      <w:r w:rsidR="00AF6074" w:rsidRPr="00AF6074">
        <w:rPr>
          <w:rFonts w:ascii="Arial" w:hAnsi="Arial" w:cs="Arial"/>
          <w:color w:val="00BEA0"/>
          <w:lang w:val="nb-NO"/>
        </w:rPr>
        <w:t xml:space="preserve"> 4</w:t>
      </w:r>
      <w:r w:rsidR="00AF6074">
        <w:rPr>
          <w:rFonts w:ascii="Arial" w:hAnsi="Arial" w:cs="Arial"/>
          <w:color w:val="6F6F6F"/>
          <w:lang w:val="nb-NO"/>
        </w:rPr>
        <w:t xml:space="preserve">, </w:t>
      </w:r>
      <w:r w:rsidR="00AF6074" w:rsidRPr="00AF6074">
        <w:rPr>
          <w:rFonts w:ascii="Arial" w:hAnsi="Arial" w:cs="Arial"/>
          <w:color w:val="00BEA0"/>
          <w:lang w:val="nb-NO"/>
        </w:rPr>
        <w:t>tabel 2</w:t>
      </w:r>
      <w:r w:rsidR="00AF6074">
        <w:rPr>
          <w:rFonts w:ascii="Arial" w:hAnsi="Arial" w:cs="Arial"/>
          <w:color w:val="6F6F6F"/>
          <w:lang w:val="nb-NO"/>
        </w:rPr>
        <w:t>)</w:t>
      </w:r>
      <w:r w:rsidR="00FF7D08">
        <w:rPr>
          <w:rFonts w:ascii="Arial" w:hAnsi="Arial" w:cs="Arial"/>
          <w:color w:val="6F6F6F"/>
          <w:lang w:val="nb-NO"/>
        </w:rPr>
        <w:t xml:space="preserve">. </w:t>
      </w:r>
      <w:r w:rsidR="00437B31" w:rsidRPr="00437B31">
        <w:rPr>
          <w:rFonts w:ascii="Arial" w:hAnsi="Arial" w:cs="Arial"/>
          <w:color w:val="6F6F6F"/>
          <w:lang w:val="nb-NO"/>
        </w:rPr>
        <w:t xml:space="preserve">Patients treated with </w:t>
      </w:r>
      <w:r>
        <w:rPr>
          <w:rFonts w:ascii="Arial" w:hAnsi="Arial" w:cs="Arial"/>
          <w:color w:val="6F6F6F"/>
          <w:lang w:val="nb-NO"/>
        </w:rPr>
        <w:t>LEBRIKIZUMAB</w:t>
      </w:r>
      <w:r w:rsidR="00437B31" w:rsidRPr="00437B31">
        <w:rPr>
          <w:rFonts w:ascii="Arial" w:hAnsi="Arial" w:cs="Arial"/>
          <w:color w:val="6F6F6F"/>
          <w:lang w:val="nb-NO"/>
        </w:rPr>
        <w:t xml:space="preserve"> +TCS also achieved significant improvements in DLQI (77% vs. 59% placebo) and pruritus NRS (51% vs. 32% placebo)</w:t>
      </w:r>
      <w:r w:rsidR="00437B31">
        <w:rPr>
          <w:rFonts w:ascii="Arial" w:hAnsi="Arial" w:cs="Arial"/>
          <w:color w:val="6F6F6F"/>
          <w:lang w:val="nb-NO"/>
        </w:rPr>
        <w:t xml:space="preserve"> </w:t>
      </w:r>
      <w:r w:rsidR="00AF6074">
        <w:rPr>
          <w:rFonts w:ascii="Arial" w:hAnsi="Arial" w:cs="Arial"/>
          <w:color w:val="6F6F6F"/>
          <w:lang w:val="nb-NO"/>
        </w:rPr>
        <w:t>(</w:t>
      </w:r>
      <w:r w:rsidR="00AF6074" w:rsidRPr="00AF6074">
        <w:rPr>
          <w:rFonts w:ascii="Arial" w:hAnsi="Arial" w:cs="Arial"/>
          <w:color w:val="00BEA0"/>
          <w:lang w:val="nb-NO"/>
        </w:rPr>
        <w:t>tabel 2</w:t>
      </w:r>
      <w:r w:rsidR="00AF6074">
        <w:rPr>
          <w:rFonts w:ascii="Arial" w:hAnsi="Arial" w:cs="Arial"/>
          <w:color w:val="6F6F6F"/>
          <w:lang w:val="nb-NO"/>
        </w:rPr>
        <w:t>).</w:t>
      </w:r>
    </w:p>
    <w:tbl>
      <w:tblPr>
        <w:tblStyle w:val="TableGrid"/>
        <w:tblW w:w="0" w:type="auto"/>
        <w:jc w:val="center"/>
        <w:tblLook w:val="04A0" w:firstRow="1" w:lastRow="0" w:firstColumn="1" w:lastColumn="0" w:noHBand="0" w:noVBand="1"/>
      </w:tblPr>
      <w:tblGrid>
        <w:gridCol w:w="1838"/>
        <w:gridCol w:w="2410"/>
        <w:gridCol w:w="3549"/>
      </w:tblGrid>
      <w:tr w:rsidR="00893F95" w:rsidRPr="006164C8" w14:paraId="05B5E896" w14:textId="77777777" w:rsidTr="00AC42B9">
        <w:trPr>
          <w:jc w:val="center"/>
        </w:trPr>
        <w:tc>
          <w:tcPr>
            <w:tcW w:w="7797" w:type="dxa"/>
            <w:gridSpan w:val="3"/>
            <w:tcBorders>
              <w:top w:val="nil"/>
              <w:left w:val="nil"/>
              <w:bottom w:val="nil"/>
              <w:right w:val="nil"/>
            </w:tcBorders>
          </w:tcPr>
          <w:p w14:paraId="787D9B26" w14:textId="2083A37B" w:rsidR="00893F95" w:rsidRPr="00067195" w:rsidRDefault="00893F95" w:rsidP="009E56DB">
            <w:pPr>
              <w:pStyle w:val="NoSpacing"/>
              <w:keepNext/>
              <w:keepLines/>
              <w:rPr>
                <w:rFonts w:ascii="Arial" w:hAnsi="Arial" w:cs="Arial"/>
                <w:color w:val="00BEA0"/>
                <w:sz w:val="20"/>
                <w:szCs w:val="20"/>
                <w:vertAlign w:val="superscript"/>
                <w:lang w:val="nb-NO"/>
              </w:rPr>
            </w:pPr>
            <w:r w:rsidRPr="0098723F">
              <w:rPr>
                <w:rFonts w:ascii="Arial" w:hAnsi="Arial" w:cs="Arial"/>
                <w:color w:val="00BEA0"/>
                <w:sz w:val="20"/>
                <w:szCs w:val="20"/>
                <w:lang w:val="nb-NO"/>
              </w:rPr>
              <w:t xml:space="preserve">Tabel </w:t>
            </w:r>
            <w:r>
              <w:rPr>
                <w:rFonts w:ascii="Arial" w:hAnsi="Arial" w:cs="Arial"/>
                <w:color w:val="00BEA0"/>
                <w:sz w:val="20"/>
                <w:szCs w:val="20"/>
                <w:lang w:val="nb-NO"/>
              </w:rPr>
              <w:t>2</w:t>
            </w:r>
            <w:r w:rsidRPr="0098723F">
              <w:rPr>
                <w:rFonts w:ascii="Arial" w:hAnsi="Arial" w:cs="Arial"/>
                <w:color w:val="00BEA0"/>
                <w:sz w:val="20"/>
                <w:szCs w:val="20"/>
                <w:lang w:val="nb-NO"/>
              </w:rPr>
              <w:t>.</w:t>
            </w:r>
            <w:r w:rsidR="002E5988">
              <w:rPr>
                <w:rFonts w:ascii="Arial" w:hAnsi="Arial" w:cs="Arial"/>
                <w:color w:val="00BEA0"/>
                <w:sz w:val="20"/>
                <w:szCs w:val="20"/>
                <w:lang w:val="nb-NO"/>
              </w:rPr>
              <w:t xml:space="preserve"> </w:t>
            </w:r>
            <w:r w:rsidR="00D55E3F">
              <w:rPr>
                <w:rFonts w:ascii="Arial" w:hAnsi="Arial" w:cs="Arial"/>
                <w:color w:val="00BEA0"/>
                <w:sz w:val="20"/>
                <w:szCs w:val="20"/>
                <w:lang w:val="nb-NO"/>
              </w:rPr>
              <w:t>Efficacy of</w:t>
            </w:r>
            <w:r w:rsidR="00787323">
              <w:rPr>
                <w:rFonts w:ascii="Arial" w:hAnsi="Arial" w:cs="Arial"/>
                <w:color w:val="00BEA0"/>
                <w:sz w:val="20"/>
                <w:szCs w:val="20"/>
                <w:lang w:val="nb-NO"/>
              </w:rPr>
              <w:t xml:space="preserve"> 250 mg</w:t>
            </w:r>
            <w:r w:rsidR="002E5988">
              <w:rPr>
                <w:rFonts w:ascii="Arial" w:hAnsi="Arial" w:cs="Arial"/>
                <w:color w:val="00BEA0"/>
                <w:sz w:val="20"/>
                <w:szCs w:val="20"/>
                <w:lang w:val="nb-NO"/>
              </w:rPr>
              <w:t xml:space="preserve"> </w:t>
            </w:r>
            <w:r w:rsidR="00E86D6B">
              <w:rPr>
                <w:rFonts w:ascii="Arial" w:hAnsi="Arial" w:cs="Arial"/>
                <w:color w:val="00BEA0"/>
                <w:sz w:val="20"/>
                <w:szCs w:val="20"/>
                <w:lang w:val="nb-NO"/>
              </w:rPr>
              <w:t>LEBRIKIZUMAB</w:t>
            </w:r>
            <w:r w:rsidR="002E5988">
              <w:rPr>
                <w:rFonts w:ascii="Arial" w:hAnsi="Arial" w:cs="Arial"/>
                <w:color w:val="00BEA0"/>
                <w:sz w:val="20"/>
                <w:szCs w:val="20"/>
                <w:lang w:val="nb-NO"/>
              </w:rPr>
              <w:t xml:space="preserve"> </w:t>
            </w:r>
            <w:r w:rsidR="00D55E3F">
              <w:rPr>
                <w:rFonts w:ascii="Arial" w:hAnsi="Arial" w:cs="Arial"/>
                <w:color w:val="00BEA0"/>
                <w:sz w:val="20"/>
                <w:szCs w:val="20"/>
                <w:lang w:val="nb-NO"/>
              </w:rPr>
              <w:t>combination therapy with</w:t>
            </w:r>
            <w:r w:rsidR="009B687A">
              <w:rPr>
                <w:rFonts w:ascii="Arial" w:hAnsi="Arial" w:cs="Arial"/>
                <w:color w:val="00BEA0"/>
                <w:sz w:val="20"/>
                <w:szCs w:val="20"/>
                <w:lang w:val="nb-NO"/>
              </w:rPr>
              <w:t xml:space="preserve"> TCS</w:t>
            </w:r>
            <w:r w:rsidR="00800EF1">
              <w:rPr>
                <w:rFonts w:ascii="Arial" w:hAnsi="Arial" w:cs="Arial"/>
                <w:color w:val="00BEA0"/>
                <w:sz w:val="20"/>
                <w:szCs w:val="20"/>
                <w:lang w:val="nb-NO"/>
              </w:rPr>
              <w:t xml:space="preserve"> </w:t>
            </w:r>
            <w:r w:rsidR="00D55E3F">
              <w:rPr>
                <w:rFonts w:ascii="Arial" w:hAnsi="Arial" w:cs="Arial"/>
                <w:color w:val="00BEA0"/>
                <w:sz w:val="20"/>
                <w:szCs w:val="20"/>
                <w:lang w:val="nb-NO"/>
              </w:rPr>
              <w:t>at week</w:t>
            </w:r>
            <w:r w:rsidR="00800EF1">
              <w:rPr>
                <w:rFonts w:ascii="Arial" w:hAnsi="Arial" w:cs="Arial"/>
                <w:color w:val="00BEA0"/>
                <w:sz w:val="20"/>
                <w:szCs w:val="20"/>
                <w:lang w:val="nb-NO"/>
              </w:rPr>
              <w:t xml:space="preserve"> 16</w:t>
            </w:r>
            <w:r w:rsidR="00F12CE0">
              <w:rPr>
                <w:rFonts w:ascii="Arial" w:hAnsi="Arial" w:cs="Arial"/>
                <w:color w:val="00BEA0"/>
                <w:sz w:val="20"/>
                <w:szCs w:val="20"/>
                <w:lang w:val="nb-NO"/>
              </w:rPr>
              <w:t xml:space="preserve"> (ADhere)</w:t>
            </w:r>
            <w:r w:rsidR="00800EF1">
              <w:rPr>
                <w:rFonts w:ascii="Arial" w:hAnsi="Arial" w:cs="Arial"/>
                <w:color w:val="00BEA0"/>
                <w:sz w:val="20"/>
                <w:szCs w:val="20"/>
                <w:lang w:val="nb-NO"/>
              </w:rPr>
              <w:t>.</w:t>
            </w:r>
            <w:r w:rsidR="00067195">
              <w:rPr>
                <w:rFonts w:ascii="Arial" w:hAnsi="Arial" w:cs="Arial"/>
                <w:color w:val="00BEA0"/>
                <w:sz w:val="20"/>
                <w:szCs w:val="20"/>
                <w:vertAlign w:val="superscript"/>
                <w:lang w:val="nb-NO"/>
              </w:rPr>
              <w:t>15</w:t>
            </w:r>
          </w:p>
        </w:tc>
      </w:tr>
      <w:tr w:rsidR="005D3EDD" w14:paraId="4AF052E8" w14:textId="77777777" w:rsidTr="00AC42B9">
        <w:trPr>
          <w:jc w:val="center"/>
        </w:trPr>
        <w:tc>
          <w:tcPr>
            <w:tcW w:w="1838" w:type="dxa"/>
            <w:tcBorders>
              <w:top w:val="nil"/>
              <w:left w:val="nil"/>
              <w:bottom w:val="nil"/>
              <w:right w:val="nil"/>
            </w:tcBorders>
          </w:tcPr>
          <w:p w14:paraId="36E70F35" w14:textId="77777777" w:rsidR="005D3EDD" w:rsidRDefault="005D3EDD" w:rsidP="009E56DB">
            <w:pPr>
              <w:pStyle w:val="NoSpacing"/>
              <w:keepNext/>
              <w:keepLines/>
              <w:rPr>
                <w:rFonts w:ascii="Arial" w:hAnsi="Arial" w:cs="Arial"/>
                <w:color w:val="6F6F6F"/>
                <w:lang w:val="nb-NO"/>
              </w:rPr>
            </w:pPr>
          </w:p>
        </w:tc>
        <w:tc>
          <w:tcPr>
            <w:tcW w:w="2410" w:type="dxa"/>
            <w:tcBorders>
              <w:top w:val="nil"/>
              <w:left w:val="nil"/>
              <w:bottom w:val="nil"/>
              <w:right w:val="nil"/>
            </w:tcBorders>
          </w:tcPr>
          <w:p w14:paraId="5A1C8BEE" w14:textId="74F4BDB7" w:rsidR="005D3EDD" w:rsidRPr="004A4633" w:rsidRDefault="00787323" w:rsidP="009E56DB">
            <w:pPr>
              <w:pStyle w:val="NoSpacing"/>
              <w:keepNext/>
              <w:keepLines/>
              <w:jc w:val="center"/>
              <w:rPr>
                <w:rFonts w:ascii="Arial" w:hAnsi="Arial" w:cs="Arial"/>
                <w:b/>
                <w:bCs/>
                <w:color w:val="6F6F6F"/>
                <w:sz w:val="20"/>
                <w:szCs w:val="20"/>
                <w:lang w:val="nb-NO"/>
              </w:rPr>
            </w:pPr>
            <w:r>
              <w:rPr>
                <w:rFonts w:ascii="Arial" w:hAnsi="Arial" w:cs="Arial"/>
                <w:b/>
                <w:bCs/>
                <w:color w:val="6F6F6F"/>
                <w:sz w:val="20"/>
                <w:szCs w:val="20"/>
                <w:lang w:val="nb-NO"/>
              </w:rPr>
              <w:t>PBO + TCS</w:t>
            </w:r>
          </w:p>
        </w:tc>
        <w:tc>
          <w:tcPr>
            <w:tcW w:w="3549" w:type="dxa"/>
            <w:tcBorders>
              <w:top w:val="nil"/>
              <w:left w:val="nil"/>
              <w:bottom w:val="nil"/>
              <w:right w:val="nil"/>
            </w:tcBorders>
          </w:tcPr>
          <w:p w14:paraId="49472F59" w14:textId="76E1A283" w:rsidR="005D3EDD" w:rsidRPr="004A4633" w:rsidRDefault="00787323" w:rsidP="009E56DB">
            <w:pPr>
              <w:pStyle w:val="NoSpacing"/>
              <w:keepNext/>
              <w:keepLines/>
              <w:jc w:val="center"/>
              <w:rPr>
                <w:rFonts w:ascii="Arial" w:hAnsi="Arial" w:cs="Arial"/>
                <w:b/>
                <w:bCs/>
                <w:color w:val="6F6F6F"/>
                <w:sz w:val="20"/>
                <w:szCs w:val="20"/>
                <w:lang w:val="nb-NO"/>
              </w:rPr>
            </w:pPr>
            <w:r>
              <w:rPr>
                <w:rFonts w:ascii="Arial" w:hAnsi="Arial" w:cs="Arial"/>
                <w:b/>
                <w:bCs/>
                <w:color w:val="6F6F6F"/>
                <w:sz w:val="20"/>
                <w:szCs w:val="20"/>
                <w:lang w:val="nb-NO"/>
              </w:rPr>
              <w:t>Q2W + TCS</w:t>
            </w:r>
          </w:p>
        </w:tc>
      </w:tr>
      <w:tr w:rsidR="00787323" w14:paraId="75073C96" w14:textId="77777777" w:rsidTr="00AC42B9">
        <w:trPr>
          <w:jc w:val="center"/>
        </w:trPr>
        <w:tc>
          <w:tcPr>
            <w:tcW w:w="1838" w:type="dxa"/>
            <w:tcBorders>
              <w:top w:val="nil"/>
              <w:left w:val="nil"/>
              <w:bottom w:val="nil"/>
              <w:right w:val="nil"/>
            </w:tcBorders>
          </w:tcPr>
          <w:p w14:paraId="00A96581" w14:textId="77777777" w:rsidR="00787323" w:rsidRPr="004A4633" w:rsidRDefault="00787323" w:rsidP="009E56DB">
            <w:pPr>
              <w:pStyle w:val="NoSpacing"/>
              <w:keepNext/>
              <w:keepLines/>
              <w:rPr>
                <w:rFonts w:ascii="Arial" w:hAnsi="Arial" w:cs="Arial"/>
                <w:b/>
                <w:bCs/>
                <w:color w:val="6F6F6F"/>
                <w:sz w:val="20"/>
                <w:szCs w:val="20"/>
                <w:vertAlign w:val="superscript"/>
                <w:lang w:val="nb-NO"/>
              </w:rPr>
            </w:pPr>
            <w:r w:rsidRPr="004A4633">
              <w:rPr>
                <w:rFonts w:ascii="Arial" w:hAnsi="Arial" w:cs="Arial"/>
                <w:b/>
                <w:bCs/>
                <w:color w:val="6F6F6F"/>
                <w:sz w:val="20"/>
                <w:szCs w:val="20"/>
                <w:lang w:val="nb-NO"/>
              </w:rPr>
              <w:t>% EASI 75</w:t>
            </w:r>
            <w:r w:rsidRPr="004A4633">
              <w:rPr>
                <w:rFonts w:ascii="Arial" w:hAnsi="Arial" w:cs="Arial"/>
                <w:b/>
                <w:bCs/>
                <w:color w:val="6F6F6F"/>
                <w:sz w:val="20"/>
                <w:szCs w:val="20"/>
                <w:vertAlign w:val="superscript"/>
                <w:lang w:val="nb-NO"/>
              </w:rPr>
              <w:t>a</w:t>
            </w:r>
          </w:p>
        </w:tc>
        <w:tc>
          <w:tcPr>
            <w:tcW w:w="2410" w:type="dxa"/>
            <w:tcBorders>
              <w:top w:val="nil"/>
              <w:left w:val="nil"/>
              <w:bottom w:val="nil"/>
              <w:right w:val="nil"/>
            </w:tcBorders>
          </w:tcPr>
          <w:p w14:paraId="68A4032C" w14:textId="2B20A6F1" w:rsidR="00787323" w:rsidRPr="00082211" w:rsidRDefault="00CB62D5" w:rsidP="009E56DB">
            <w:pPr>
              <w:pStyle w:val="NoSpacing"/>
              <w:keepNext/>
              <w:keepLines/>
              <w:jc w:val="center"/>
              <w:rPr>
                <w:rFonts w:ascii="Arial" w:hAnsi="Arial" w:cs="Arial"/>
                <w:b/>
                <w:bCs/>
                <w:color w:val="6F6F6F"/>
                <w:lang w:val="nb-NO"/>
              </w:rPr>
            </w:pPr>
            <w:r w:rsidRPr="00082211">
              <w:rPr>
                <w:rFonts w:ascii="Arial" w:hAnsi="Arial" w:cs="Arial"/>
                <w:b/>
                <w:bCs/>
                <w:color w:val="A59D95"/>
                <w:lang w:val="nb-NO"/>
              </w:rPr>
              <w:t>42</w:t>
            </w:r>
          </w:p>
        </w:tc>
        <w:tc>
          <w:tcPr>
            <w:tcW w:w="3549" w:type="dxa"/>
            <w:tcBorders>
              <w:top w:val="nil"/>
              <w:left w:val="nil"/>
              <w:bottom w:val="nil"/>
              <w:right w:val="nil"/>
            </w:tcBorders>
          </w:tcPr>
          <w:p w14:paraId="6F143377" w14:textId="525E45AF" w:rsidR="00787323" w:rsidRDefault="00CB62D5" w:rsidP="009E56DB">
            <w:pPr>
              <w:pStyle w:val="NoSpacing"/>
              <w:keepNext/>
              <w:keepLines/>
              <w:jc w:val="center"/>
              <w:rPr>
                <w:rFonts w:ascii="Arial" w:hAnsi="Arial" w:cs="Arial"/>
                <w:color w:val="6F6F6F"/>
                <w:lang w:val="nb-NO"/>
              </w:rPr>
            </w:pPr>
            <w:r w:rsidRPr="00082211">
              <w:rPr>
                <w:rFonts w:ascii="Arial" w:hAnsi="Arial" w:cs="Arial"/>
                <w:b/>
                <w:bCs/>
                <w:color w:val="B1059D"/>
                <w:lang w:val="nb-NO"/>
              </w:rPr>
              <w:t>70</w:t>
            </w:r>
            <w:r w:rsidR="00082211">
              <w:rPr>
                <w:rFonts w:ascii="Arial" w:hAnsi="Arial" w:cs="Arial"/>
                <w:color w:val="6F6F6F"/>
                <w:lang w:val="nb-NO"/>
              </w:rPr>
              <w:t>***</w:t>
            </w:r>
          </w:p>
        </w:tc>
      </w:tr>
      <w:tr w:rsidR="00787323" w14:paraId="16C6CB3D" w14:textId="77777777" w:rsidTr="00AC42B9">
        <w:trPr>
          <w:jc w:val="center"/>
        </w:trPr>
        <w:tc>
          <w:tcPr>
            <w:tcW w:w="1838" w:type="dxa"/>
            <w:tcBorders>
              <w:top w:val="nil"/>
              <w:left w:val="nil"/>
              <w:bottom w:val="nil"/>
              <w:right w:val="nil"/>
            </w:tcBorders>
          </w:tcPr>
          <w:p w14:paraId="31AC371C" w14:textId="77777777" w:rsidR="00787323" w:rsidRPr="00E44D16" w:rsidRDefault="00787323" w:rsidP="009E56DB">
            <w:pPr>
              <w:pStyle w:val="NoSpacing"/>
              <w:keepNext/>
              <w:keepLines/>
              <w:rPr>
                <w:rFonts w:ascii="Arial" w:hAnsi="Arial" w:cs="Arial"/>
                <w:color w:val="6F6F6F"/>
                <w:sz w:val="20"/>
                <w:szCs w:val="20"/>
                <w:vertAlign w:val="superscript"/>
                <w:lang w:val="nb-NO"/>
              </w:rPr>
            </w:pPr>
            <w:r w:rsidRPr="00E44D16">
              <w:rPr>
                <w:rFonts w:ascii="Arial" w:hAnsi="Arial" w:cs="Arial"/>
                <w:color w:val="6F6F6F"/>
                <w:sz w:val="20"/>
                <w:szCs w:val="20"/>
                <w:lang w:val="nb-NO"/>
              </w:rPr>
              <w:t>% DLQI</w:t>
            </w:r>
            <w:r w:rsidRPr="00E44D16">
              <w:rPr>
                <w:rFonts w:ascii="Arial" w:hAnsi="Arial" w:cs="Arial"/>
                <w:color w:val="6F6F6F"/>
                <w:sz w:val="20"/>
                <w:szCs w:val="20"/>
                <w:vertAlign w:val="superscript"/>
                <w:lang w:val="nb-NO"/>
              </w:rPr>
              <w:t>b</w:t>
            </w:r>
          </w:p>
        </w:tc>
        <w:tc>
          <w:tcPr>
            <w:tcW w:w="2410" w:type="dxa"/>
            <w:tcBorders>
              <w:top w:val="nil"/>
              <w:left w:val="nil"/>
              <w:bottom w:val="nil"/>
              <w:right w:val="nil"/>
            </w:tcBorders>
          </w:tcPr>
          <w:p w14:paraId="7E48F777" w14:textId="4EA57EA5" w:rsidR="00787323" w:rsidRDefault="00CB62D5" w:rsidP="009E56DB">
            <w:pPr>
              <w:pStyle w:val="NoSpacing"/>
              <w:keepNext/>
              <w:keepLines/>
              <w:jc w:val="center"/>
              <w:rPr>
                <w:rFonts w:ascii="Arial" w:hAnsi="Arial" w:cs="Arial"/>
                <w:color w:val="6F6F6F"/>
                <w:lang w:val="nb-NO"/>
              </w:rPr>
            </w:pPr>
            <w:r>
              <w:rPr>
                <w:rFonts w:ascii="Arial" w:hAnsi="Arial" w:cs="Arial"/>
                <w:color w:val="6F6F6F"/>
                <w:lang w:val="nb-NO"/>
              </w:rPr>
              <w:t>59</w:t>
            </w:r>
          </w:p>
        </w:tc>
        <w:tc>
          <w:tcPr>
            <w:tcW w:w="3549" w:type="dxa"/>
            <w:tcBorders>
              <w:top w:val="nil"/>
              <w:left w:val="nil"/>
              <w:bottom w:val="nil"/>
              <w:right w:val="nil"/>
            </w:tcBorders>
          </w:tcPr>
          <w:p w14:paraId="703E0806" w14:textId="05A42983" w:rsidR="00787323" w:rsidRDefault="00CB62D5" w:rsidP="009E56DB">
            <w:pPr>
              <w:pStyle w:val="NoSpacing"/>
              <w:keepNext/>
              <w:keepLines/>
              <w:jc w:val="center"/>
              <w:rPr>
                <w:rFonts w:ascii="Arial" w:hAnsi="Arial" w:cs="Arial"/>
                <w:color w:val="6F6F6F"/>
                <w:lang w:val="nb-NO"/>
              </w:rPr>
            </w:pPr>
            <w:r>
              <w:rPr>
                <w:rFonts w:ascii="Arial" w:hAnsi="Arial" w:cs="Arial"/>
                <w:color w:val="6F6F6F"/>
                <w:lang w:val="nb-NO"/>
              </w:rPr>
              <w:t>77</w:t>
            </w:r>
            <w:r w:rsidR="00082211">
              <w:rPr>
                <w:rFonts w:ascii="Arial" w:hAnsi="Arial" w:cs="Arial"/>
                <w:color w:val="6F6F6F"/>
                <w:lang w:val="nb-NO"/>
              </w:rPr>
              <w:t>*</w:t>
            </w:r>
          </w:p>
        </w:tc>
      </w:tr>
      <w:tr w:rsidR="00787323" w14:paraId="4971D86F" w14:textId="77777777" w:rsidTr="00AC42B9">
        <w:trPr>
          <w:jc w:val="center"/>
        </w:trPr>
        <w:tc>
          <w:tcPr>
            <w:tcW w:w="1838" w:type="dxa"/>
            <w:tcBorders>
              <w:top w:val="nil"/>
              <w:left w:val="nil"/>
              <w:bottom w:val="nil"/>
              <w:right w:val="nil"/>
            </w:tcBorders>
          </w:tcPr>
          <w:p w14:paraId="0B9F67C4" w14:textId="5E76AA0A" w:rsidR="00787323" w:rsidRPr="00E44D16" w:rsidRDefault="00787323" w:rsidP="009E56DB">
            <w:pPr>
              <w:pStyle w:val="NoSpacing"/>
              <w:keepNext/>
              <w:keepLines/>
              <w:rPr>
                <w:rFonts w:ascii="Arial" w:hAnsi="Arial" w:cs="Arial"/>
                <w:color w:val="6F6F6F"/>
                <w:sz w:val="20"/>
                <w:szCs w:val="20"/>
                <w:vertAlign w:val="superscript"/>
                <w:lang w:val="nb-NO"/>
              </w:rPr>
            </w:pPr>
            <w:r w:rsidRPr="00E44D16">
              <w:rPr>
                <w:rFonts w:ascii="Arial" w:hAnsi="Arial" w:cs="Arial"/>
                <w:color w:val="6F6F6F"/>
                <w:sz w:val="20"/>
                <w:szCs w:val="20"/>
                <w:lang w:val="nb-NO"/>
              </w:rPr>
              <w:t>% pruritus NRS</w:t>
            </w:r>
            <w:r w:rsidR="00F002E9" w:rsidRPr="00E44D16">
              <w:rPr>
                <w:rFonts w:ascii="Arial" w:hAnsi="Arial" w:cs="Arial"/>
                <w:color w:val="6F6F6F"/>
                <w:sz w:val="20"/>
                <w:szCs w:val="20"/>
                <w:vertAlign w:val="superscript"/>
                <w:lang w:val="nb-NO"/>
              </w:rPr>
              <w:t>c</w:t>
            </w:r>
          </w:p>
        </w:tc>
        <w:tc>
          <w:tcPr>
            <w:tcW w:w="2410" w:type="dxa"/>
            <w:tcBorders>
              <w:top w:val="nil"/>
              <w:left w:val="nil"/>
              <w:bottom w:val="nil"/>
              <w:right w:val="nil"/>
            </w:tcBorders>
            <w:vAlign w:val="center"/>
          </w:tcPr>
          <w:p w14:paraId="55FE501C" w14:textId="598162C2" w:rsidR="00787323" w:rsidRDefault="00CB62D5" w:rsidP="009E56DB">
            <w:pPr>
              <w:pStyle w:val="NoSpacing"/>
              <w:keepNext/>
              <w:keepLines/>
              <w:jc w:val="center"/>
              <w:rPr>
                <w:rFonts w:ascii="Arial" w:hAnsi="Arial" w:cs="Arial"/>
                <w:color w:val="6F6F6F"/>
                <w:lang w:val="nb-NO"/>
              </w:rPr>
            </w:pPr>
            <w:r>
              <w:rPr>
                <w:rFonts w:ascii="Arial" w:hAnsi="Arial" w:cs="Arial"/>
                <w:color w:val="6F6F6F"/>
                <w:lang w:val="nb-NO"/>
              </w:rPr>
              <w:t>32</w:t>
            </w:r>
          </w:p>
        </w:tc>
        <w:tc>
          <w:tcPr>
            <w:tcW w:w="3549" w:type="dxa"/>
            <w:tcBorders>
              <w:top w:val="nil"/>
              <w:left w:val="nil"/>
              <w:bottom w:val="nil"/>
              <w:right w:val="nil"/>
            </w:tcBorders>
            <w:vAlign w:val="center"/>
          </w:tcPr>
          <w:p w14:paraId="7BE2DE29" w14:textId="05D93F64" w:rsidR="00787323" w:rsidRDefault="00CB62D5" w:rsidP="009E56DB">
            <w:pPr>
              <w:pStyle w:val="NoSpacing"/>
              <w:keepNext/>
              <w:keepLines/>
              <w:jc w:val="center"/>
              <w:rPr>
                <w:rFonts w:ascii="Arial" w:hAnsi="Arial" w:cs="Arial"/>
                <w:color w:val="6F6F6F"/>
                <w:lang w:val="nb-NO"/>
              </w:rPr>
            </w:pPr>
            <w:r>
              <w:rPr>
                <w:rFonts w:ascii="Arial" w:hAnsi="Arial" w:cs="Arial"/>
                <w:color w:val="6F6F6F"/>
                <w:lang w:val="nb-NO"/>
              </w:rPr>
              <w:t>51</w:t>
            </w:r>
            <w:r w:rsidR="00082211">
              <w:rPr>
                <w:rFonts w:ascii="Arial" w:hAnsi="Arial" w:cs="Arial"/>
                <w:color w:val="6F6F6F"/>
                <w:lang w:val="nb-NO"/>
              </w:rPr>
              <w:t>*</w:t>
            </w:r>
          </w:p>
        </w:tc>
      </w:tr>
      <w:tr w:rsidR="00787323" w14:paraId="07BEA45D" w14:textId="77777777" w:rsidTr="00AC42B9">
        <w:trPr>
          <w:jc w:val="center"/>
        </w:trPr>
        <w:tc>
          <w:tcPr>
            <w:tcW w:w="1838" w:type="dxa"/>
            <w:tcBorders>
              <w:top w:val="nil"/>
              <w:left w:val="nil"/>
              <w:bottom w:val="nil"/>
              <w:right w:val="nil"/>
            </w:tcBorders>
          </w:tcPr>
          <w:p w14:paraId="636F9CC7" w14:textId="77777777" w:rsidR="00787323" w:rsidRPr="009E56DB" w:rsidRDefault="00787323" w:rsidP="009E56DB">
            <w:pPr>
              <w:pStyle w:val="NoSpacing"/>
              <w:keepNext/>
              <w:keepLines/>
              <w:jc w:val="right"/>
              <w:rPr>
                <w:rFonts w:ascii="Arial" w:hAnsi="Arial" w:cs="Arial"/>
                <w:color w:val="6F6F6F"/>
                <w:sz w:val="20"/>
                <w:szCs w:val="20"/>
                <w:lang w:val="nb-NO"/>
              </w:rPr>
            </w:pPr>
            <w:r w:rsidRPr="009E56DB">
              <w:rPr>
                <w:rFonts w:ascii="Arial" w:hAnsi="Arial" w:cs="Arial"/>
                <w:color w:val="6F6F6F"/>
                <w:sz w:val="20"/>
                <w:szCs w:val="20"/>
                <w:lang w:val="nb-NO"/>
              </w:rPr>
              <w:t>n =</w:t>
            </w:r>
          </w:p>
        </w:tc>
        <w:tc>
          <w:tcPr>
            <w:tcW w:w="2410" w:type="dxa"/>
            <w:tcBorders>
              <w:top w:val="nil"/>
              <w:left w:val="nil"/>
              <w:bottom w:val="nil"/>
              <w:right w:val="nil"/>
            </w:tcBorders>
          </w:tcPr>
          <w:p w14:paraId="416EDB08" w14:textId="15FBDFF3" w:rsidR="00787323" w:rsidRPr="009E56DB" w:rsidRDefault="00787323" w:rsidP="009E56DB">
            <w:pPr>
              <w:pStyle w:val="NoSpacing"/>
              <w:keepNext/>
              <w:keepLines/>
              <w:jc w:val="center"/>
              <w:rPr>
                <w:rFonts w:ascii="Arial" w:hAnsi="Arial" w:cs="Arial"/>
                <w:color w:val="6F6F6F"/>
                <w:sz w:val="20"/>
                <w:szCs w:val="20"/>
                <w:lang w:val="nb-NO"/>
              </w:rPr>
            </w:pPr>
            <w:r w:rsidRPr="009E56DB">
              <w:rPr>
                <w:rFonts w:ascii="Arial" w:hAnsi="Arial" w:cs="Arial"/>
                <w:color w:val="6F6F6F"/>
                <w:sz w:val="20"/>
                <w:szCs w:val="20"/>
                <w:lang w:val="nb-NO"/>
              </w:rPr>
              <w:t>66</w:t>
            </w:r>
          </w:p>
        </w:tc>
        <w:tc>
          <w:tcPr>
            <w:tcW w:w="3549" w:type="dxa"/>
            <w:tcBorders>
              <w:top w:val="nil"/>
              <w:left w:val="nil"/>
              <w:bottom w:val="nil"/>
              <w:right w:val="nil"/>
            </w:tcBorders>
          </w:tcPr>
          <w:p w14:paraId="69193978" w14:textId="02ED03CA" w:rsidR="00787323" w:rsidRPr="00102F3C" w:rsidRDefault="00787323" w:rsidP="009E56DB">
            <w:pPr>
              <w:pStyle w:val="NoSpacing"/>
              <w:keepNext/>
              <w:keepLines/>
              <w:jc w:val="center"/>
              <w:rPr>
                <w:rFonts w:ascii="Arial" w:hAnsi="Arial" w:cs="Arial"/>
                <w:color w:val="6F6F6F"/>
                <w:sz w:val="20"/>
                <w:szCs w:val="20"/>
                <w:lang w:val="nb-NO"/>
              </w:rPr>
            </w:pPr>
            <w:r>
              <w:rPr>
                <w:rFonts w:ascii="Arial" w:hAnsi="Arial" w:cs="Arial"/>
                <w:color w:val="6F6F6F"/>
                <w:sz w:val="20"/>
                <w:szCs w:val="20"/>
                <w:lang w:val="nb-NO"/>
              </w:rPr>
              <w:t>145</w:t>
            </w:r>
          </w:p>
        </w:tc>
      </w:tr>
      <w:tr w:rsidR="00893F95" w:rsidRPr="006164C8" w14:paraId="7F5911FD" w14:textId="77777777" w:rsidTr="001C38AA">
        <w:trPr>
          <w:trHeight w:val="271"/>
          <w:jc w:val="center"/>
        </w:trPr>
        <w:tc>
          <w:tcPr>
            <w:tcW w:w="7797" w:type="dxa"/>
            <w:gridSpan w:val="3"/>
            <w:tcBorders>
              <w:top w:val="nil"/>
              <w:left w:val="nil"/>
              <w:bottom w:val="nil"/>
              <w:right w:val="nil"/>
            </w:tcBorders>
          </w:tcPr>
          <w:p w14:paraId="37B42940" w14:textId="66C0AD7E" w:rsidR="00893F95" w:rsidRPr="008C135E" w:rsidRDefault="00893F95" w:rsidP="009E56DB">
            <w:pPr>
              <w:pStyle w:val="NoSpacing"/>
              <w:keepNext/>
              <w:keepLines/>
              <w:rPr>
                <w:rFonts w:ascii="Arial" w:hAnsi="Arial" w:cs="Arial"/>
                <w:color w:val="6F6F6F"/>
                <w:sz w:val="16"/>
                <w:szCs w:val="16"/>
                <w:lang w:val="nb-NO"/>
              </w:rPr>
            </w:pPr>
            <w:r w:rsidRPr="008C135E">
              <w:rPr>
                <w:rFonts w:ascii="Arial" w:hAnsi="Arial" w:cs="Arial"/>
                <w:color w:val="6F6F6F"/>
                <w:sz w:val="16"/>
                <w:szCs w:val="16"/>
                <w:vertAlign w:val="superscript"/>
                <w:lang w:val="nb-NO"/>
              </w:rPr>
              <w:t>a</w:t>
            </w:r>
            <w:r w:rsidRPr="008C135E">
              <w:rPr>
                <w:rFonts w:ascii="Arial" w:hAnsi="Arial" w:cs="Arial"/>
                <w:color w:val="6F6F6F"/>
                <w:sz w:val="16"/>
                <w:szCs w:val="16"/>
                <w:lang w:val="nb-NO"/>
              </w:rPr>
              <w:t xml:space="preserve"> </w:t>
            </w:r>
            <w:r w:rsidR="001C38AA">
              <w:rPr>
                <w:rFonts w:ascii="Arial" w:hAnsi="Arial" w:cs="Arial"/>
                <w:color w:val="6F6F6F"/>
                <w:sz w:val="16"/>
                <w:szCs w:val="16"/>
                <w:lang w:val="nb-NO"/>
              </w:rPr>
              <w:t>Participants with a</w:t>
            </w:r>
            <w:r w:rsidR="001C38AA" w:rsidRPr="00AC42B9">
              <w:rPr>
                <w:rFonts w:ascii="Arial" w:hAnsi="Arial" w:cs="Arial"/>
                <w:color w:val="6F6F6F"/>
                <w:sz w:val="16"/>
                <w:szCs w:val="16"/>
                <w:lang w:val="nb-NO"/>
              </w:rPr>
              <w:t xml:space="preserve"> 75% </w:t>
            </w:r>
            <w:r w:rsidR="001C38AA">
              <w:rPr>
                <w:rFonts w:ascii="Arial" w:hAnsi="Arial" w:cs="Arial"/>
                <w:color w:val="6F6F6F"/>
                <w:sz w:val="16"/>
                <w:szCs w:val="16"/>
                <w:lang w:val="nb-NO"/>
              </w:rPr>
              <w:t>reduction in</w:t>
            </w:r>
            <w:r w:rsidR="001C38AA" w:rsidRPr="00AC42B9">
              <w:rPr>
                <w:rFonts w:ascii="Arial" w:hAnsi="Arial" w:cs="Arial"/>
                <w:color w:val="6F6F6F"/>
                <w:sz w:val="16"/>
                <w:szCs w:val="16"/>
                <w:lang w:val="nb-NO"/>
              </w:rPr>
              <w:t xml:space="preserve"> EASI fr</w:t>
            </w:r>
            <w:r w:rsidR="001C38AA">
              <w:rPr>
                <w:rFonts w:ascii="Arial" w:hAnsi="Arial" w:cs="Arial"/>
                <w:color w:val="6F6F6F"/>
                <w:sz w:val="16"/>
                <w:szCs w:val="16"/>
                <w:lang w:val="nb-NO"/>
              </w:rPr>
              <w:t>om</w:t>
            </w:r>
            <w:r w:rsidR="001C38AA" w:rsidRPr="00AC42B9">
              <w:rPr>
                <w:rFonts w:ascii="Arial" w:hAnsi="Arial" w:cs="Arial"/>
                <w:color w:val="6F6F6F"/>
                <w:sz w:val="16"/>
                <w:szCs w:val="16"/>
                <w:lang w:val="nb-NO"/>
              </w:rPr>
              <w:t xml:space="preserve"> baseline.</w:t>
            </w:r>
          </w:p>
          <w:p w14:paraId="4254F034" w14:textId="77777777" w:rsidR="001C38AA" w:rsidRPr="00AC42B9" w:rsidRDefault="001C38AA" w:rsidP="001C38AA">
            <w:pPr>
              <w:pStyle w:val="NoSpacing"/>
              <w:rPr>
                <w:rFonts w:ascii="Arial" w:hAnsi="Arial" w:cs="Arial"/>
                <w:color w:val="6F6F6F"/>
                <w:sz w:val="16"/>
                <w:szCs w:val="16"/>
                <w:lang w:val="nb-NO"/>
              </w:rPr>
            </w:pPr>
            <w:r w:rsidRPr="00AC42B9">
              <w:rPr>
                <w:rFonts w:ascii="Arial" w:hAnsi="Arial" w:cs="Arial"/>
                <w:color w:val="6F6F6F"/>
                <w:sz w:val="16"/>
                <w:szCs w:val="16"/>
                <w:vertAlign w:val="superscript"/>
                <w:lang w:val="nb-NO"/>
              </w:rPr>
              <w:t>b</w:t>
            </w:r>
            <w:r w:rsidRPr="00AC42B9">
              <w:rPr>
                <w:rFonts w:ascii="Arial" w:hAnsi="Arial" w:cs="Arial"/>
                <w:color w:val="6F6F6F"/>
                <w:sz w:val="16"/>
                <w:szCs w:val="16"/>
                <w:lang w:val="nb-NO"/>
              </w:rPr>
              <w:t xml:space="preserve"> ≥ 4-p</w:t>
            </w:r>
            <w:r>
              <w:rPr>
                <w:rFonts w:ascii="Arial" w:hAnsi="Arial" w:cs="Arial"/>
                <w:color w:val="6F6F6F"/>
                <w:sz w:val="16"/>
                <w:szCs w:val="16"/>
                <w:lang w:val="nb-NO"/>
              </w:rPr>
              <w:t xml:space="preserve">oint improvement </w:t>
            </w:r>
            <w:r w:rsidRPr="00AC42B9">
              <w:rPr>
                <w:rFonts w:ascii="Arial" w:hAnsi="Arial" w:cs="Arial"/>
                <w:color w:val="6F6F6F"/>
                <w:sz w:val="16"/>
                <w:szCs w:val="16"/>
                <w:lang w:val="nb-NO"/>
              </w:rPr>
              <w:t xml:space="preserve">. </w:t>
            </w:r>
            <w:r>
              <w:rPr>
                <w:rFonts w:ascii="Arial" w:hAnsi="Arial" w:cs="Arial"/>
                <w:color w:val="6F6F6F"/>
                <w:sz w:val="16"/>
                <w:szCs w:val="16"/>
                <w:lang w:val="nb-NO"/>
              </w:rPr>
              <w:t>Only participants with a</w:t>
            </w:r>
            <w:r w:rsidRPr="00AC42B9">
              <w:rPr>
                <w:rFonts w:ascii="Arial" w:hAnsi="Arial" w:cs="Arial"/>
                <w:color w:val="6F6F6F"/>
                <w:sz w:val="16"/>
                <w:szCs w:val="16"/>
                <w:lang w:val="nb-NO"/>
              </w:rPr>
              <w:t xml:space="preserve"> baseline DLQI ≥ 4</w:t>
            </w:r>
            <w:r>
              <w:rPr>
                <w:rFonts w:ascii="Arial" w:hAnsi="Arial" w:cs="Arial"/>
                <w:color w:val="6F6F6F"/>
                <w:sz w:val="16"/>
                <w:szCs w:val="16"/>
                <w:lang w:val="nb-NO"/>
              </w:rPr>
              <w:t xml:space="preserve"> were included</w:t>
            </w:r>
            <w:r w:rsidRPr="00AC42B9">
              <w:rPr>
                <w:rFonts w:ascii="Arial" w:hAnsi="Arial" w:cs="Arial"/>
                <w:color w:val="6F6F6F"/>
                <w:sz w:val="16"/>
                <w:szCs w:val="16"/>
                <w:lang w:val="nb-NO"/>
              </w:rPr>
              <w:t>.</w:t>
            </w:r>
          </w:p>
          <w:p w14:paraId="4F8FC8E4" w14:textId="77777777" w:rsidR="001C38AA" w:rsidRPr="00AC42B9" w:rsidRDefault="001C38AA" w:rsidP="001C38AA">
            <w:pPr>
              <w:pStyle w:val="NoSpacing"/>
              <w:rPr>
                <w:rFonts w:ascii="Arial" w:hAnsi="Arial" w:cs="Arial"/>
                <w:color w:val="6F6F6F"/>
                <w:sz w:val="16"/>
                <w:szCs w:val="16"/>
                <w:lang w:val="nb-NO"/>
              </w:rPr>
            </w:pPr>
            <w:r w:rsidRPr="00AC42B9">
              <w:rPr>
                <w:rFonts w:ascii="Arial" w:hAnsi="Arial" w:cs="Arial"/>
                <w:color w:val="6F6F6F"/>
                <w:sz w:val="16"/>
                <w:szCs w:val="16"/>
                <w:vertAlign w:val="superscript"/>
                <w:lang w:val="nb-NO"/>
              </w:rPr>
              <w:t>c</w:t>
            </w:r>
            <w:r w:rsidRPr="00AC42B9">
              <w:rPr>
                <w:rFonts w:ascii="Arial" w:hAnsi="Arial" w:cs="Arial"/>
                <w:color w:val="6F6F6F"/>
                <w:sz w:val="16"/>
                <w:szCs w:val="16"/>
                <w:lang w:val="nb-NO"/>
              </w:rPr>
              <w:t xml:space="preserve"> ≥ 4-p</w:t>
            </w:r>
            <w:r>
              <w:rPr>
                <w:rFonts w:ascii="Arial" w:hAnsi="Arial" w:cs="Arial"/>
                <w:color w:val="6F6F6F"/>
                <w:sz w:val="16"/>
                <w:szCs w:val="16"/>
                <w:lang w:val="nb-NO"/>
              </w:rPr>
              <w:t>oint improvement</w:t>
            </w:r>
            <w:r w:rsidRPr="00AC42B9">
              <w:rPr>
                <w:rFonts w:ascii="Arial" w:hAnsi="Arial" w:cs="Arial"/>
                <w:color w:val="6F6F6F"/>
                <w:sz w:val="16"/>
                <w:szCs w:val="16"/>
                <w:lang w:val="nb-NO"/>
              </w:rPr>
              <w:t xml:space="preserve">. </w:t>
            </w:r>
            <w:r>
              <w:rPr>
                <w:rFonts w:ascii="Arial" w:hAnsi="Arial" w:cs="Arial"/>
                <w:color w:val="6F6F6F"/>
                <w:sz w:val="16"/>
                <w:szCs w:val="16"/>
                <w:lang w:val="nb-NO"/>
              </w:rPr>
              <w:t>Only participants with a</w:t>
            </w:r>
            <w:r w:rsidRPr="00AC42B9">
              <w:rPr>
                <w:rFonts w:ascii="Arial" w:hAnsi="Arial" w:cs="Arial"/>
                <w:color w:val="6F6F6F"/>
                <w:sz w:val="16"/>
                <w:szCs w:val="16"/>
                <w:lang w:val="nb-NO"/>
              </w:rPr>
              <w:t xml:space="preserve"> baseline </w:t>
            </w:r>
            <w:r>
              <w:rPr>
                <w:rFonts w:ascii="Arial" w:hAnsi="Arial" w:cs="Arial"/>
                <w:color w:val="6F6F6F"/>
                <w:sz w:val="16"/>
                <w:szCs w:val="16"/>
                <w:lang w:val="nb-NO"/>
              </w:rPr>
              <w:t>Pruiritus NRS</w:t>
            </w:r>
            <w:r w:rsidRPr="00AC42B9">
              <w:rPr>
                <w:rFonts w:ascii="Arial" w:hAnsi="Arial" w:cs="Arial"/>
                <w:color w:val="6F6F6F"/>
                <w:sz w:val="16"/>
                <w:szCs w:val="16"/>
                <w:lang w:val="nb-NO"/>
              </w:rPr>
              <w:t xml:space="preserve"> ≥ 4</w:t>
            </w:r>
            <w:r>
              <w:rPr>
                <w:rFonts w:ascii="Arial" w:hAnsi="Arial" w:cs="Arial"/>
                <w:color w:val="6F6F6F"/>
                <w:sz w:val="16"/>
                <w:szCs w:val="16"/>
                <w:lang w:val="nb-NO"/>
              </w:rPr>
              <w:t xml:space="preserve"> were included</w:t>
            </w:r>
            <w:r w:rsidRPr="00AC42B9">
              <w:rPr>
                <w:rFonts w:ascii="Arial" w:hAnsi="Arial" w:cs="Arial"/>
                <w:color w:val="6F6F6F"/>
                <w:sz w:val="16"/>
                <w:szCs w:val="16"/>
                <w:lang w:val="nb-NO"/>
              </w:rPr>
              <w:t>.</w:t>
            </w:r>
          </w:p>
          <w:p w14:paraId="1BAE0DEE" w14:textId="5A1AB00A" w:rsidR="00893F95" w:rsidRDefault="001C38AA" w:rsidP="001C38AA">
            <w:pPr>
              <w:pStyle w:val="NoSpacing"/>
              <w:keepNext/>
              <w:keepLines/>
              <w:rPr>
                <w:rFonts w:ascii="Arial" w:hAnsi="Arial" w:cs="Arial"/>
                <w:color w:val="6F6F6F"/>
                <w:lang w:val="nb-NO"/>
              </w:rPr>
            </w:pPr>
            <w:r w:rsidRPr="00AC42B9">
              <w:rPr>
                <w:rFonts w:ascii="Arial" w:hAnsi="Arial" w:cs="Arial"/>
                <w:color w:val="6F6F6F"/>
                <w:sz w:val="16"/>
                <w:szCs w:val="16"/>
                <w:lang w:val="nb-NO"/>
              </w:rPr>
              <w:t xml:space="preserve">* p &lt; 0,05 </w:t>
            </w:r>
            <w:r>
              <w:rPr>
                <w:rFonts w:ascii="Arial" w:hAnsi="Arial" w:cs="Arial"/>
                <w:color w:val="6F6F6F"/>
                <w:sz w:val="16"/>
                <w:szCs w:val="16"/>
                <w:lang w:val="nb-NO"/>
              </w:rPr>
              <w:t>versus</w:t>
            </w:r>
            <w:r w:rsidRPr="00AC42B9">
              <w:rPr>
                <w:rFonts w:ascii="Arial" w:hAnsi="Arial" w:cs="Arial"/>
                <w:color w:val="6F6F6F"/>
                <w:sz w:val="16"/>
                <w:szCs w:val="16"/>
                <w:lang w:val="nb-NO"/>
              </w:rPr>
              <w:t xml:space="preserve"> placebo</w:t>
            </w:r>
            <w:r>
              <w:rPr>
                <w:rFonts w:ascii="Arial" w:hAnsi="Arial" w:cs="Arial"/>
                <w:color w:val="6F6F6F"/>
                <w:sz w:val="16"/>
                <w:szCs w:val="16"/>
                <w:lang w:val="nb-NO"/>
              </w:rPr>
              <w:t>,</w:t>
            </w:r>
            <w:r w:rsidRPr="00AC42B9">
              <w:rPr>
                <w:rFonts w:ascii="Arial" w:hAnsi="Arial" w:cs="Arial"/>
                <w:color w:val="6F6F6F"/>
                <w:sz w:val="16"/>
                <w:szCs w:val="16"/>
                <w:lang w:val="nb-NO"/>
              </w:rPr>
              <w:t xml:space="preserve"> *** p &lt; 0,001 </w:t>
            </w:r>
            <w:r>
              <w:rPr>
                <w:rFonts w:ascii="Arial" w:hAnsi="Arial" w:cs="Arial"/>
                <w:color w:val="6F6F6F"/>
                <w:sz w:val="16"/>
                <w:szCs w:val="16"/>
                <w:lang w:val="nb-NO"/>
              </w:rPr>
              <w:t>versus</w:t>
            </w:r>
            <w:r w:rsidRPr="00AC42B9">
              <w:rPr>
                <w:rFonts w:ascii="Arial" w:hAnsi="Arial" w:cs="Arial"/>
                <w:color w:val="6F6F6F"/>
                <w:sz w:val="16"/>
                <w:szCs w:val="16"/>
                <w:lang w:val="nb-NO"/>
              </w:rPr>
              <w:t xml:space="preserve"> placebo</w:t>
            </w:r>
          </w:p>
        </w:tc>
      </w:tr>
    </w:tbl>
    <w:p w14:paraId="576B5D2B" w14:textId="77777777" w:rsidR="00A94722" w:rsidRDefault="00A94722" w:rsidP="00D70D1C">
      <w:pPr>
        <w:pStyle w:val="NoSpacing"/>
        <w:rPr>
          <w:rFonts w:ascii="Arial" w:hAnsi="Arial" w:cs="Arial"/>
          <w:color w:val="6F6F6F"/>
          <w:lang w:val="nb-N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1599B" w14:paraId="684C4F17" w14:textId="77777777" w:rsidTr="00703DBA">
        <w:trPr>
          <w:jc w:val="center"/>
        </w:trPr>
        <w:tc>
          <w:tcPr>
            <w:tcW w:w="9918" w:type="dxa"/>
          </w:tcPr>
          <w:p w14:paraId="652F7299" w14:textId="3867B9A2" w:rsidR="0091599B" w:rsidRDefault="00123A94" w:rsidP="00703DBA">
            <w:pPr>
              <w:pStyle w:val="NoSpacing"/>
              <w:jc w:val="center"/>
              <w:rPr>
                <w:rFonts w:ascii="Arial" w:hAnsi="Arial" w:cs="Arial"/>
                <w:color w:val="6F6F6F"/>
                <w:lang w:val="nb-NO"/>
              </w:rPr>
            </w:pPr>
            <w:r>
              <w:rPr>
                <w:rFonts w:ascii="Arial" w:hAnsi="Arial" w:cs="Arial"/>
                <w:noProof/>
                <w:color w:val="6F6F6F"/>
                <w:lang w:val="nb-NO"/>
              </w:rPr>
              <w:drawing>
                <wp:inline distT="0" distB="0" distL="0" distR="0" wp14:anchorId="27612E6D" wp14:editId="5E4DFAD2">
                  <wp:extent cx="2412000" cy="2101974"/>
                  <wp:effectExtent l="0" t="0" r="0" b="0"/>
                  <wp:docPr id="141202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27149"/>
                          <a:stretch/>
                        </pic:blipFill>
                        <pic:spPr bwMode="auto">
                          <a:xfrm>
                            <a:off x="0" y="0"/>
                            <a:ext cx="2412000" cy="21019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23A94" w:rsidRPr="006164C8" w14:paraId="0AA3E360" w14:textId="77777777" w:rsidTr="00703DBA">
        <w:trPr>
          <w:jc w:val="center"/>
        </w:trPr>
        <w:tc>
          <w:tcPr>
            <w:tcW w:w="9918" w:type="dxa"/>
          </w:tcPr>
          <w:p w14:paraId="52831AB1" w14:textId="09F2F1C4" w:rsidR="00123A94" w:rsidRDefault="00123A94" w:rsidP="00123A94">
            <w:pPr>
              <w:pStyle w:val="NoSpacing"/>
              <w:rPr>
                <w:rFonts w:ascii="Arial" w:hAnsi="Arial" w:cs="Arial"/>
                <w:color w:val="6F6F6F"/>
                <w:lang w:val="nb-NO"/>
              </w:rPr>
            </w:pPr>
            <w:r w:rsidRPr="00E43C94">
              <w:rPr>
                <w:rFonts w:ascii="Arial" w:hAnsi="Arial" w:cs="Arial"/>
                <w:noProof/>
                <w:color w:val="00BEA0"/>
                <w:sz w:val="20"/>
                <w:szCs w:val="20"/>
                <w:lang w:val="nb-NO"/>
              </w:rPr>
              <w:t>Figur</w:t>
            </w:r>
            <w:r w:rsidR="002D5144">
              <w:rPr>
                <w:rFonts w:ascii="Arial" w:hAnsi="Arial" w:cs="Arial"/>
                <w:noProof/>
                <w:color w:val="00BEA0"/>
                <w:sz w:val="20"/>
                <w:szCs w:val="20"/>
                <w:lang w:val="nb-NO"/>
              </w:rPr>
              <w:t>e</w:t>
            </w:r>
            <w:r w:rsidRPr="00E43C94">
              <w:rPr>
                <w:rFonts w:ascii="Arial" w:hAnsi="Arial" w:cs="Arial"/>
                <w:noProof/>
                <w:color w:val="00BEA0"/>
                <w:sz w:val="20"/>
                <w:szCs w:val="20"/>
                <w:lang w:val="nb-NO"/>
              </w:rPr>
              <w:t xml:space="preserve"> </w:t>
            </w:r>
            <w:r>
              <w:rPr>
                <w:rFonts w:ascii="Arial" w:hAnsi="Arial" w:cs="Arial"/>
                <w:noProof/>
                <w:color w:val="00BEA0"/>
                <w:sz w:val="20"/>
                <w:szCs w:val="20"/>
                <w:lang w:val="nb-NO"/>
              </w:rPr>
              <w:t>4</w:t>
            </w:r>
            <w:r w:rsidRPr="00E43C94">
              <w:rPr>
                <w:rFonts w:ascii="Arial" w:hAnsi="Arial" w:cs="Arial"/>
                <w:noProof/>
                <w:color w:val="00BEA0"/>
                <w:sz w:val="20"/>
                <w:szCs w:val="20"/>
                <w:lang w:val="nb-NO"/>
              </w:rPr>
              <w:t>. EASI 75 respons</w:t>
            </w:r>
            <w:r w:rsidR="002D5144">
              <w:rPr>
                <w:rFonts w:ascii="Arial" w:hAnsi="Arial" w:cs="Arial"/>
                <w:noProof/>
                <w:color w:val="00BEA0"/>
                <w:sz w:val="20"/>
                <w:szCs w:val="20"/>
                <w:lang w:val="nb-NO"/>
              </w:rPr>
              <w:t>e</w:t>
            </w:r>
            <w:r w:rsidRPr="00E43C94">
              <w:rPr>
                <w:rFonts w:ascii="Arial" w:hAnsi="Arial" w:cs="Arial"/>
                <w:noProof/>
                <w:color w:val="00BEA0"/>
                <w:sz w:val="20"/>
                <w:szCs w:val="20"/>
                <w:lang w:val="nb-NO"/>
              </w:rPr>
              <w:t xml:space="preserve"> </w:t>
            </w:r>
            <w:r w:rsidR="002D5144">
              <w:rPr>
                <w:rFonts w:ascii="Arial" w:hAnsi="Arial" w:cs="Arial"/>
                <w:noProof/>
                <w:color w:val="00BEA0"/>
                <w:sz w:val="20"/>
                <w:szCs w:val="20"/>
                <w:lang w:val="nb-NO"/>
              </w:rPr>
              <w:t>in</w:t>
            </w:r>
            <w:r w:rsidR="00C451BD">
              <w:rPr>
                <w:rFonts w:ascii="Arial" w:hAnsi="Arial" w:cs="Arial"/>
                <w:noProof/>
                <w:color w:val="00BEA0"/>
                <w:sz w:val="20"/>
                <w:szCs w:val="20"/>
                <w:lang w:val="nb-NO"/>
              </w:rPr>
              <w:t xml:space="preserve"> ADhere +TCS </w:t>
            </w:r>
            <w:r w:rsidR="002D5144">
              <w:rPr>
                <w:rFonts w:ascii="Arial" w:hAnsi="Arial" w:cs="Arial"/>
                <w:noProof/>
                <w:color w:val="00BEA0"/>
                <w:sz w:val="20"/>
                <w:szCs w:val="20"/>
                <w:lang w:val="nb-NO"/>
              </w:rPr>
              <w:t>study</w:t>
            </w:r>
            <w:r w:rsidR="00C451BD">
              <w:rPr>
                <w:rFonts w:ascii="Arial" w:hAnsi="Arial" w:cs="Arial"/>
                <w:noProof/>
                <w:color w:val="00BEA0"/>
                <w:sz w:val="20"/>
                <w:szCs w:val="20"/>
                <w:lang w:val="nb-NO"/>
              </w:rPr>
              <w:t xml:space="preserve"> </w:t>
            </w:r>
            <w:r w:rsidR="002D5144">
              <w:rPr>
                <w:rFonts w:ascii="Arial" w:hAnsi="Arial" w:cs="Arial"/>
                <w:noProof/>
                <w:color w:val="00BEA0"/>
                <w:sz w:val="20"/>
                <w:szCs w:val="20"/>
                <w:lang w:val="nb-NO"/>
              </w:rPr>
              <w:t>at</w:t>
            </w:r>
            <w:r w:rsidRPr="00E43C94">
              <w:rPr>
                <w:rFonts w:ascii="Arial" w:hAnsi="Arial" w:cs="Arial"/>
                <w:noProof/>
                <w:color w:val="00BEA0"/>
                <w:sz w:val="20"/>
                <w:szCs w:val="20"/>
                <w:lang w:val="nb-NO"/>
              </w:rPr>
              <w:t xml:space="preserve"> </w:t>
            </w:r>
            <w:r w:rsidR="002D5144">
              <w:rPr>
                <w:rFonts w:ascii="Arial" w:hAnsi="Arial" w:cs="Arial"/>
                <w:noProof/>
                <w:color w:val="00BEA0"/>
                <w:sz w:val="20"/>
                <w:szCs w:val="20"/>
                <w:lang w:val="nb-NO"/>
              </w:rPr>
              <w:t>week</w:t>
            </w:r>
            <w:r w:rsidRPr="00E43C94">
              <w:rPr>
                <w:rFonts w:ascii="Arial" w:hAnsi="Arial" w:cs="Arial"/>
                <w:noProof/>
                <w:color w:val="00BEA0"/>
                <w:sz w:val="20"/>
                <w:szCs w:val="20"/>
                <w:lang w:val="nb-NO"/>
              </w:rPr>
              <w:t xml:space="preserve"> 16 </w:t>
            </w:r>
            <w:r w:rsidR="002D5144">
              <w:rPr>
                <w:rFonts w:ascii="Arial" w:hAnsi="Arial" w:cs="Arial"/>
                <w:noProof/>
                <w:color w:val="00BEA0"/>
                <w:sz w:val="20"/>
                <w:szCs w:val="20"/>
                <w:lang w:val="nb-NO"/>
              </w:rPr>
              <w:t>and</w:t>
            </w:r>
            <w:r w:rsidRPr="00E43C94">
              <w:rPr>
                <w:rFonts w:ascii="Arial" w:hAnsi="Arial" w:cs="Arial"/>
                <w:noProof/>
                <w:color w:val="00BEA0"/>
                <w:sz w:val="20"/>
                <w:szCs w:val="20"/>
                <w:lang w:val="nb-NO"/>
              </w:rPr>
              <w:t xml:space="preserve"> 52.</w:t>
            </w:r>
            <w:r w:rsidR="00067195">
              <w:rPr>
                <w:rFonts w:ascii="Arial" w:hAnsi="Arial" w:cs="Arial"/>
                <w:noProof/>
                <w:color w:val="00BEA0"/>
                <w:sz w:val="20"/>
                <w:szCs w:val="20"/>
                <w:vertAlign w:val="superscript"/>
                <w:lang w:val="nb-NO"/>
              </w:rPr>
              <w:t>15</w:t>
            </w:r>
            <w:r w:rsidR="003A3ED4">
              <w:rPr>
                <w:rFonts w:ascii="Arial" w:hAnsi="Arial" w:cs="Arial"/>
                <w:noProof/>
                <w:color w:val="00BEA0"/>
                <w:sz w:val="20"/>
                <w:szCs w:val="20"/>
                <w:lang w:val="nb-NO"/>
              </w:rPr>
              <w:t xml:space="preserve"> </w:t>
            </w:r>
            <w:r w:rsidR="003A3ED4" w:rsidRPr="005B7D8A">
              <w:rPr>
                <w:rFonts w:ascii="Arial" w:hAnsi="Arial" w:cs="Arial"/>
                <w:noProof/>
                <w:color w:val="00BEA0"/>
                <w:sz w:val="20"/>
                <w:szCs w:val="20"/>
                <w:lang w:val="nb-NO"/>
              </w:rPr>
              <w:t>*p≤</w:t>
            </w:r>
            <w:r w:rsidR="00DE3D62">
              <w:rPr>
                <w:rFonts w:ascii="Arial" w:hAnsi="Arial" w:cs="Arial"/>
                <w:noProof/>
                <w:color w:val="00BEA0"/>
                <w:sz w:val="20"/>
                <w:szCs w:val="20"/>
                <w:lang w:val="nb-NO"/>
              </w:rPr>
              <w:t>0,</w:t>
            </w:r>
            <w:r w:rsidR="003A3ED4" w:rsidRPr="005B7D8A">
              <w:rPr>
                <w:rFonts w:ascii="Arial" w:hAnsi="Arial" w:cs="Arial"/>
                <w:noProof/>
                <w:color w:val="00BEA0"/>
                <w:sz w:val="20"/>
                <w:szCs w:val="20"/>
                <w:lang w:val="nb-NO"/>
              </w:rPr>
              <w:t>05, **p≤</w:t>
            </w:r>
            <w:r w:rsidR="00DE3D62">
              <w:rPr>
                <w:rFonts w:ascii="Arial" w:hAnsi="Arial" w:cs="Arial"/>
                <w:noProof/>
                <w:color w:val="00BEA0"/>
                <w:sz w:val="20"/>
                <w:szCs w:val="20"/>
                <w:lang w:val="nb-NO"/>
              </w:rPr>
              <w:t>0,</w:t>
            </w:r>
            <w:r w:rsidR="003A3ED4" w:rsidRPr="005B7D8A">
              <w:rPr>
                <w:rFonts w:ascii="Arial" w:hAnsi="Arial" w:cs="Arial"/>
                <w:noProof/>
                <w:color w:val="00BEA0"/>
                <w:sz w:val="20"/>
                <w:szCs w:val="20"/>
                <w:lang w:val="nb-NO"/>
              </w:rPr>
              <w:t>01, ***p≤</w:t>
            </w:r>
            <w:r w:rsidR="00DE3D62">
              <w:rPr>
                <w:rFonts w:ascii="Arial" w:hAnsi="Arial" w:cs="Arial"/>
                <w:noProof/>
                <w:color w:val="00BEA0"/>
                <w:sz w:val="20"/>
                <w:szCs w:val="20"/>
                <w:lang w:val="nb-NO"/>
              </w:rPr>
              <w:t>0,</w:t>
            </w:r>
            <w:r w:rsidR="003A3ED4" w:rsidRPr="005B7D8A">
              <w:rPr>
                <w:rFonts w:ascii="Arial" w:hAnsi="Arial" w:cs="Arial"/>
                <w:noProof/>
                <w:color w:val="00BEA0"/>
                <w:sz w:val="20"/>
                <w:szCs w:val="20"/>
                <w:lang w:val="nb-NO"/>
              </w:rPr>
              <w:t>001</w:t>
            </w:r>
            <w:r w:rsidR="003A3ED4">
              <w:rPr>
                <w:rFonts w:ascii="Arial" w:hAnsi="Arial" w:cs="Arial"/>
                <w:noProof/>
                <w:color w:val="00BEA0"/>
                <w:sz w:val="20"/>
                <w:szCs w:val="20"/>
                <w:lang w:val="nb-NO"/>
              </w:rPr>
              <w:t xml:space="preserve"> </w:t>
            </w:r>
            <w:r w:rsidR="002D5144">
              <w:rPr>
                <w:rFonts w:ascii="Arial" w:hAnsi="Arial" w:cs="Arial"/>
                <w:noProof/>
                <w:color w:val="00BEA0"/>
                <w:sz w:val="20"/>
                <w:szCs w:val="20"/>
                <w:lang w:val="nb-NO"/>
              </w:rPr>
              <w:t>versus</w:t>
            </w:r>
            <w:r w:rsidR="003A3ED4">
              <w:rPr>
                <w:rFonts w:ascii="Arial" w:hAnsi="Arial" w:cs="Arial"/>
                <w:noProof/>
                <w:color w:val="00BEA0"/>
                <w:sz w:val="20"/>
                <w:szCs w:val="20"/>
                <w:lang w:val="nb-NO"/>
              </w:rPr>
              <w:t xml:space="preserve"> placebo.</w:t>
            </w:r>
          </w:p>
        </w:tc>
      </w:tr>
    </w:tbl>
    <w:p w14:paraId="6AA4DC3A" w14:textId="129F1132" w:rsidR="003D59C6" w:rsidRDefault="00DB6FC2" w:rsidP="00D43E66">
      <w:pPr>
        <w:spacing w:before="120" w:after="0"/>
        <w:rPr>
          <w:rFonts w:ascii="Arial" w:hAnsi="Arial" w:cs="Arial"/>
          <w:b/>
          <w:bCs/>
          <w:color w:val="00BEA0"/>
          <w:lang w:val="nb-NO"/>
        </w:rPr>
      </w:pPr>
      <w:r>
        <w:rPr>
          <w:rFonts w:ascii="Arial" w:hAnsi="Arial" w:cs="Arial"/>
          <w:b/>
          <w:bCs/>
          <w:color w:val="00BEA0"/>
          <w:lang w:val="nb-NO"/>
        </w:rPr>
        <w:t>Safety Data</w:t>
      </w:r>
      <w:r w:rsidR="00B00657">
        <w:rPr>
          <w:rFonts w:ascii="Arial" w:hAnsi="Arial" w:cs="Arial"/>
          <w:b/>
          <w:bCs/>
          <w:color w:val="00BEA0"/>
          <w:vertAlign w:val="superscript"/>
          <w:lang w:val="nb-NO"/>
        </w:rPr>
        <w:t>1</w:t>
      </w:r>
    </w:p>
    <w:p w14:paraId="4A905C01" w14:textId="5CBB6537" w:rsidR="00CF633C" w:rsidRDefault="00BE5C41" w:rsidP="00AC385F">
      <w:pPr>
        <w:pStyle w:val="NoSpacing"/>
        <w:rPr>
          <w:rFonts w:ascii="Arial" w:hAnsi="Arial" w:cs="Arial"/>
          <w:color w:val="6F6F6F"/>
          <w:lang w:val="nb-NO"/>
        </w:rPr>
      </w:pPr>
      <w:r w:rsidRPr="00BE5C41">
        <w:rPr>
          <w:rFonts w:ascii="Arial" w:hAnsi="Arial" w:cs="Arial"/>
          <w:color w:val="6F6F6F"/>
          <w:lang w:val="nb-NO"/>
        </w:rPr>
        <w:t xml:space="preserve">During the clinical studies for atopic dermatitis, a total of 1,720 patients received </w:t>
      </w:r>
      <w:r w:rsidR="00E86D6B">
        <w:rPr>
          <w:rFonts w:ascii="Arial" w:hAnsi="Arial" w:cs="Arial"/>
          <w:color w:val="6F6F6F"/>
          <w:lang w:val="nb-NO"/>
        </w:rPr>
        <w:t>LEBRIKIZUMAB</w:t>
      </w:r>
      <w:r w:rsidRPr="00BE5C41">
        <w:rPr>
          <w:rFonts w:ascii="Arial" w:hAnsi="Arial" w:cs="Arial"/>
          <w:color w:val="6F6F6F"/>
          <w:lang w:val="nb-NO"/>
        </w:rPr>
        <w:t xml:space="preserve">, of whom 891 patients were treated with </w:t>
      </w:r>
      <w:r w:rsidR="00E86D6B">
        <w:rPr>
          <w:rFonts w:ascii="Arial" w:hAnsi="Arial" w:cs="Arial"/>
          <w:color w:val="6F6F6F"/>
          <w:lang w:val="nb-NO"/>
        </w:rPr>
        <w:t>LEBRIKIZUMAB</w:t>
      </w:r>
      <w:r w:rsidRPr="00BE5C41">
        <w:rPr>
          <w:rFonts w:ascii="Arial" w:hAnsi="Arial" w:cs="Arial"/>
          <w:color w:val="6F6F6F"/>
          <w:lang w:val="nb-NO"/>
        </w:rPr>
        <w:t xml:space="preserve"> for at least one year. The frequencies of adverse reactions are based on data from a group of four randomized, double-blind studies in patients with moderate to severe AD. In these studies, 783 patients were treated with subcutaneous </w:t>
      </w:r>
      <w:r w:rsidR="00E86D6B">
        <w:rPr>
          <w:rFonts w:ascii="Arial" w:hAnsi="Arial" w:cs="Arial"/>
          <w:color w:val="6F6F6F"/>
          <w:lang w:val="nb-NO"/>
        </w:rPr>
        <w:t>LEBRIKIZUMAB</w:t>
      </w:r>
      <w:r w:rsidRPr="00BE5C41">
        <w:rPr>
          <w:rFonts w:ascii="Arial" w:hAnsi="Arial" w:cs="Arial"/>
          <w:color w:val="6F6F6F"/>
          <w:lang w:val="nb-NO"/>
        </w:rPr>
        <w:t xml:space="preserve"> during the placebo-controlled period (the first 16 weeks of treatment).</w:t>
      </w:r>
    </w:p>
    <w:p w14:paraId="33330BD5" w14:textId="77777777" w:rsidR="00A77F3F" w:rsidRDefault="00A77F3F" w:rsidP="00AC385F">
      <w:pPr>
        <w:pStyle w:val="NoSpacing"/>
        <w:rPr>
          <w:rFonts w:ascii="Arial" w:hAnsi="Arial" w:cs="Arial"/>
          <w:color w:val="6F6F6F"/>
          <w:lang w:val="en-US"/>
        </w:rPr>
      </w:pPr>
    </w:p>
    <w:p w14:paraId="46CABC8A" w14:textId="20AD4B6B" w:rsidR="00FB632C" w:rsidRDefault="00A77F3F" w:rsidP="00AC385F">
      <w:pPr>
        <w:pStyle w:val="NoSpacing"/>
        <w:rPr>
          <w:rFonts w:ascii="Arial" w:hAnsi="Arial" w:cs="Arial"/>
          <w:color w:val="6F6F6F"/>
          <w:lang w:val="en-US"/>
        </w:rPr>
      </w:pPr>
      <w:r w:rsidRPr="00A77F3F">
        <w:rPr>
          <w:rFonts w:ascii="Arial" w:hAnsi="Arial" w:cs="Arial"/>
          <w:color w:val="6F6F6F"/>
          <w:lang w:val="en-US"/>
        </w:rPr>
        <w:t>The most common adverse reactions included conjunctivitis (6.9%), injection site reactions (2.6%), allergic conjunctivitis (1.8%), and dry eyes (1.4%).</w:t>
      </w:r>
    </w:p>
    <w:p w14:paraId="35569AB3" w14:textId="77777777" w:rsidR="00A77F3F" w:rsidRPr="00A77F3F" w:rsidRDefault="00A77F3F" w:rsidP="00AC385F">
      <w:pPr>
        <w:pStyle w:val="NoSpacing"/>
        <w:rPr>
          <w:rFonts w:ascii="Arial" w:hAnsi="Arial" w:cs="Arial"/>
          <w:color w:val="6F6F6F"/>
          <w:lang w:val="en-US"/>
        </w:rPr>
      </w:pPr>
    </w:p>
    <w:p w14:paraId="3729D1BB" w14:textId="6AF76C70" w:rsidR="00654106" w:rsidRPr="00654106" w:rsidRDefault="00654106" w:rsidP="00654106">
      <w:pPr>
        <w:pStyle w:val="NoSpacing"/>
        <w:rPr>
          <w:rFonts w:ascii="Arial" w:hAnsi="Arial" w:cs="Arial"/>
          <w:color w:val="6F6F6F"/>
          <w:lang w:val="nb-NO"/>
        </w:rPr>
      </w:pPr>
      <w:r w:rsidRPr="00654106">
        <w:rPr>
          <w:rFonts w:ascii="Arial" w:hAnsi="Arial" w:cs="Arial"/>
          <w:color w:val="6F6F6F"/>
          <w:lang w:val="nb-NO"/>
        </w:rPr>
        <w:t xml:space="preserve">During the first 16 weeks of treatment, conjunctivitis, allergic conjunctivitis, blepharitis, and keratitis were reported more frequently in patients treated with </w:t>
      </w:r>
      <w:r w:rsidR="00E86D6B">
        <w:rPr>
          <w:rFonts w:ascii="Arial" w:hAnsi="Arial" w:cs="Arial"/>
          <w:color w:val="6F6F6F"/>
          <w:lang w:val="nb-NO"/>
        </w:rPr>
        <w:t>LEBRIKIZUMAB</w:t>
      </w:r>
      <w:r w:rsidRPr="00654106">
        <w:rPr>
          <w:rFonts w:ascii="Arial" w:hAnsi="Arial" w:cs="Arial"/>
          <w:color w:val="6F6F6F"/>
          <w:lang w:val="nb-NO"/>
        </w:rPr>
        <w:t xml:space="preserve"> (6.9%, 1.8%, 0.8%, and 0.6%, respectively) compared to placebo (1.8%, 0.7%, 0.2%, and 0.3%). In the maintenance treatment period (week 16-52), the incidence of conjunctivitis and allergic conjunctivitis with </w:t>
      </w:r>
      <w:r w:rsidR="00E86D6B">
        <w:rPr>
          <w:rFonts w:ascii="Arial" w:hAnsi="Arial" w:cs="Arial"/>
          <w:color w:val="6F6F6F"/>
          <w:lang w:val="nb-NO"/>
        </w:rPr>
        <w:t>LEBRIKIZUMAB</w:t>
      </w:r>
      <w:r w:rsidRPr="00654106">
        <w:rPr>
          <w:rFonts w:ascii="Arial" w:hAnsi="Arial" w:cs="Arial"/>
          <w:color w:val="6F6F6F"/>
          <w:lang w:val="nb-NO"/>
        </w:rPr>
        <w:t xml:space="preserve"> was 5.0% and 5.9% respectively.</w:t>
      </w:r>
    </w:p>
    <w:p w14:paraId="1B63ED00" w14:textId="77777777" w:rsidR="00654106" w:rsidRDefault="00654106" w:rsidP="00654106">
      <w:pPr>
        <w:pStyle w:val="NoSpacing"/>
        <w:rPr>
          <w:rFonts w:ascii="Arial" w:hAnsi="Arial" w:cs="Arial"/>
          <w:color w:val="6F6F6F"/>
          <w:lang w:val="nb-NO"/>
        </w:rPr>
      </w:pPr>
    </w:p>
    <w:p w14:paraId="0FA42BEB" w14:textId="18E4B0DB" w:rsidR="00A94722" w:rsidRDefault="00654106" w:rsidP="00654106">
      <w:pPr>
        <w:pStyle w:val="NoSpacing"/>
        <w:rPr>
          <w:rFonts w:ascii="Arial" w:hAnsi="Arial" w:cs="Arial"/>
          <w:color w:val="6F6F6F"/>
          <w:lang w:val="nb-NO"/>
        </w:rPr>
      </w:pPr>
      <w:r w:rsidRPr="00654106">
        <w:rPr>
          <w:rFonts w:ascii="Arial" w:hAnsi="Arial" w:cs="Arial"/>
          <w:color w:val="6F6F6F"/>
          <w:lang w:val="nb-NO"/>
        </w:rPr>
        <w:t xml:space="preserve">Across all clinical studies, </w:t>
      </w:r>
      <w:r w:rsidR="00E86D6B">
        <w:rPr>
          <w:rFonts w:ascii="Arial" w:hAnsi="Arial" w:cs="Arial"/>
          <w:color w:val="6F6F6F"/>
          <w:lang w:val="nb-NO"/>
        </w:rPr>
        <w:t>LEBRIKIZUMAB</w:t>
      </w:r>
      <w:r w:rsidRPr="00654106">
        <w:rPr>
          <w:rFonts w:ascii="Arial" w:hAnsi="Arial" w:cs="Arial"/>
          <w:color w:val="6F6F6F"/>
          <w:lang w:val="nb-NO"/>
        </w:rPr>
        <w:t>-treated patients experienced treatment discontinuation due to conjunctivitis and allergic conjunctivitis in 0.7% and 0.3% of cases, respectively. Severe cases of conjunctivitis and allergic conjunctivitis were reported in 0.1% and 0.2% of cases respectively. 72% of patients recovered, with 57% recovering within 90 days</w:t>
      </w:r>
    </w:p>
    <w:p w14:paraId="7C218B67" w14:textId="77777777" w:rsidR="00654106" w:rsidRDefault="00654106" w:rsidP="00654106">
      <w:pPr>
        <w:pStyle w:val="NoSpacing"/>
        <w:rPr>
          <w:rFonts w:ascii="Arial" w:hAnsi="Arial" w:cs="Arial"/>
          <w:color w:val="6F6F6F"/>
          <w:lang w:val="nb-NO"/>
        </w:rPr>
      </w:pPr>
    </w:p>
    <w:p w14:paraId="12194672" w14:textId="77777777" w:rsidR="00912FE5" w:rsidRDefault="00912FE5" w:rsidP="003D59C6">
      <w:pPr>
        <w:pStyle w:val="NoSpacing"/>
        <w:keepNext/>
        <w:keepLines/>
        <w:rPr>
          <w:rFonts w:ascii="Arial" w:hAnsi="Arial" w:cs="Arial"/>
          <w:b/>
          <w:bCs/>
          <w:color w:val="00BEA0"/>
          <w:lang w:val="nb-NO"/>
        </w:rPr>
      </w:pPr>
      <w:r w:rsidRPr="00912FE5">
        <w:rPr>
          <w:rFonts w:ascii="Arial" w:hAnsi="Arial" w:cs="Arial"/>
          <w:b/>
          <w:bCs/>
          <w:color w:val="00BEA0"/>
          <w:lang w:val="nb-NO"/>
        </w:rPr>
        <w:lastRenderedPageBreak/>
        <w:t xml:space="preserve">Contact Information </w:t>
      </w:r>
    </w:p>
    <w:p w14:paraId="42C017D6" w14:textId="6E664558" w:rsidR="000E313A" w:rsidRDefault="00AC687E" w:rsidP="003D59C6">
      <w:pPr>
        <w:pStyle w:val="NoSpacing"/>
        <w:keepNext/>
        <w:keepLines/>
        <w:rPr>
          <w:rFonts w:ascii="Arial" w:hAnsi="Arial" w:cs="Arial"/>
          <w:color w:val="6F6F6F"/>
          <w:lang w:val="nb-NO"/>
        </w:rPr>
      </w:pPr>
      <w:r w:rsidRPr="00AC687E">
        <w:rPr>
          <w:rFonts w:ascii="Arial" w:hAnsi="Arial" w:cs="Arial"/>
          <w:color w:val="6F6F6F"/>
          <w:lang w:val="nb-NO"/>
        </w:rPr>
        <w:t xml:space="preserve">If you require more information about </w:t>
      </w:r>
      <w:r w:rsidR="00E86D6B">
        <w:rPr>
          <w:rFonts w:ascii="Arial" w:hAnsi="Arial" w:cs="Arial"/>
          <w:color w:val="6F6F6F"/>
          <w:lang w:val="nb-NO"/>
        </w:rPr>
        <w:t>LEBRIKIZUMAB</w:t>
      </w:r>
      <w:r w:rsidRPr="00AC687E">
        <w:rPr>
          <w:rFonts w:ascii="Arial" w:hAnsi="Arial" w:cs="Arial"/>
          <w:color w:val="6F6F6F"/>
          <w:lang w:val="nb-NO"/>
        </w:rPr>
        <w:t>, please feel free to contact us</w:t>
      </w:r>
      <w:r w:rsidR="000E313A" w:rsidRPr="000E313A">
        <w:rPr>
          <w:rFonts w:ascii="Arial" w:hAnsi="Arial" w:cs="Arial"/>
          <w:color w:val="6F6F6F"/>
          <w:lang w:val="nb-NO"/>
        </w:rPr>
        <w:t>:</w:t>
      </w:r>
    </w:p>
    <w:p w14:paraId="10FC452F" w14:textId="77777777" w:rsidR="00A07AF0" w:rsidRDefault="00A07AF0" w:rsidP="003D59C6">
      <w:pPr>
        <w:pStyle w:val="NoSpacing"/>
        <w:keepNext/>
        <w:keepLines/>
        <w:rPr>
          <w:rFonts w:ascii="Arial" w:hAnsi="Arial" w:cs="Arial"/>
          <w:color w:val="6F6F6F"/>
          <w:lang w:val="nb-NO"/>
        </w:rPr>
      </w:pPr>
    </w:p>
    <w:p w14:paraId="3E025028" w14:textId="1D725621" w:rsidR="005B3D89" w:rsidRDefault="005B3D89" w:rsidP="003D59C6">
      <w:pPr>
        <w:pStyle w:val="NoSpacing"/>
        <w:keepNext/>
        <w:keepLines/>
        <w:rPr>
          <w:rFonts w:ascii="Arial" w:hAnsi="Arial" w:cs="Arial"/>
          <w:color w:val="6F6F6F"/>
          <w:lang w:val="nb-NO"/>
        </w:rPr>
      </w:pPr>
      <w:r w:rsidRPr="00A07AF0">
        <w:rPr>
          <w:rFonts w:ascii="Arial" w:hAnsi="Arial" w:cs="Arial"/>
          <w:color w:val="00BEA0"/>
          <w:lang w:val="nb-NO"/>
        </w:rPr>
        <w:t>Antonio Sarno</w:t>
      </w:r>
      <w:r w:rsidR="00722799" w:rsidRPr="00A07AF0">
        <w:rPr>
          <w:rFonts w:ascii="Arial" w:hAnsi="Arial" w:cs="Arial"/>
          <w:color w:val="00BEA0"/>
          <w:lang w:val="nb-NO"/>
        </w:rPr>
        <w:t xml:space="preserve"> </w:t>
      </w:r>
      <w:r w:rsidR="00722799">
        <w:rPr>
          <w:rFonts w:ascii="Arial" w:hAnsi="Arial" w:cs="Arial"/>
          <w:color w:val="6F6F6F"/>
          <w:lang w:val="nb-NO"/>
        </w:rPr>
        <w:t>(</w:t>
      </w:r>
      <w:r w:rsidR="00AC687E">
        <w:rPr>
          <w:rFonts w:ascii="Arial" w:hAnsi="Arial" w:cs="Arial"/>
          <w:color w:val="6F6F6F"/>
          <w:lang w:val="nb-NO"/>
        </w:rPr>
        <w:t>in-field medical advisor</w:t>
      </w:r>
      <w:r w:rsidR="00722799">
        <w:rPr>
          <w:rFonts w:ascii="Arial" w:hAnsi="Arial" w:cs="Arial"/>
          <w:color w:val="6F6F6F"/>
          <w:lang w:val="nb-NO"/>
        </w:rPr>
        <w:t>)</w:t>
      </w:r>
    </w:p>
    <w:p w14:paraId="63C13636" w14:textId="5CAA956C" w:rsidR="0017456A" w:rsidRPr="00210E55" w:rsidRDefault="00000000" w:rsidP="003D59C6">
      <w:pPr>
        <w:pStyle w:val="NoSpacing"/>
        <w:keepNext/>
        <w:keepLines/>
        <w:rPr>
          <w:rFonts w:ascii="Arial" w:hAnsi="Arial" w:cs="Arial"/>
          <w:color w:val="6F6F6F"/>
          <w:sz w:val="20"/>
          <w:szCs w:val="20"/>
          <w:lang w:val="nb-NO"/>
        </w:rPr>
      </w:pPr>
      <w:hyperlink r:id="rId19" w:history="1">
        <w:r w:rsidR="0017456A" w:rsidRPr="00210E55">
          <w:rPr>
            <w:rStyle w:val="Hyperlink"/>
            <w:rFonts w:ascii="Arial" w:hAnsi="Arial" w:cs="Arial"/>
            <w:sz w:val="20"/>
            <w:szCs w:val="20"/>
            <w:lang w:val="nb-NO"/>
          </w:rPr>
          <w:t>antonio.sarno@almirall.com</w:t>
        </w:r>
      </w:hyperlink>
      <w:r w:rsidR="0017456A" w:rsidRPr="00210E55">
        <w:rPr>
          <w:rFonts w:ascii="Arial" w:hAnsi="Arial" w:cs="Arial"/>
          <w:color w:val="6F6F6F"/>
          <w:sz w:val="20"/>
          <w:szCs w:val="20"/>
          <w:lang w:val="nb-NO"/>
        </w:rPr>
        <w:t xml:space="preserve"> | (+47) 47173735</w:t>
      </w:r>
    </w:p>
    <w:p w14:paraId="33F86EB5" w14:textId="77777777" w:rsidR="003055C7" w:rsidRDefault="003055C7" w:rsidP="003D59C6">
      <w:pPr>
        <w:pStyle w:val="NoSpacing"/>
        <w:keepNext/>
        <w:keepLines/>
        <w:rPr>
          <w:rFonts w:ascii="Arial" w:hAnsi="Arial" w:cs="Arial"/>
          <w:color w:val="6F6F6F"/>
          <w:lang w:val="nb-NO"/>
        </w:rPr>
      </w:pPr>
    </w:p>
    <w:p w14:paraId="0E3B9825" w14:textId="53B2631E" w:rsidR="00FD5C44" w:rsidRDefault="00FD5C44" w:rsidP="003D59C6">
      <w:pPr>
        <w:pStyle w:val="NoSpacing"/>
        <w:keepNext/>
        <w:keepLines/>
        <w:rPr>
          <w:rFonts w:ascii="Arial" w:hAnsi="Arial" w:cs="Arial"/>
          <w:color w:val="6F6F6F"/>
          <w:lang w:val="nb-NO"/>
        </w:rPr>
      </w:pPr>
      <w:r w:rsidRPr="00A07AF0">
        <w:rPr>
          <w:rFonts w:ascii="Arial" w:hAnsi="Arial" w:cs="Arial"/>
          <w:color w:val="00BEA0"/>
          <w:lang w:val="nb-NO"/>
        </w:rPr>
        <w:t>Elisabeth Hjardem Taudorf</w:t>
      </w:r>
      <w:r w:rsidR="00617998" w:rsidRPr="00A07AF0">
        <w:rPr>
          <w:rFonts w:ascii="Arial" w:hAnsi="Arial" w:cs="Arial"/>
          <w:color w:val="00BEA0"/>
          <w:lang w:val="nb-NO"/>
        </w:rPr>
        <w:t xml:space="preserve"> </w:t>
      </w:r>
      <w:r w:rsidR="00617998">
        <w:rPr>
          <w:rFonts w:ascii="Arial" w:hAnsi="Arial" w:cs="Arial"/>
          <w:color w:val="6F6F6F"/>
          <w:lang w:val="nb-NO"/>
        </w:rPr>
        <w:t>(</w:t>
      </w:r>
      <w:r w:rsidR="00AC687E">
        <w:rPr>
          <w:rFonts w:ascii="Arial" w:hAnsi="Arial" w:cs="Arial"/>
          <w:color w:val="6F6F6F"/>
          <w:lang w:val="nb-NO"/>
        </w:rPr>
        <w:t>in-field medical advisor</w:t>
      </w:r>
      <w:r w:rsidR="00617998">
        <w:rPr>
          <w:rFonts w:ascii="Arial" w:hAnsi="Arial" w:cs="Arial"/>
          <w:color w:val="6F6F6F"/>
          <w:lang w:val="nb-NO"/>
        </w:rPr>
        <w:t>)</w:t>
      </w:r>
    </w:p>
    <w:p w14:paraId="2D5714C2" w14:textId="2F1A4A8C" w:rsidR="003055C7" w:rsidRPr="00210E55" w:rsidRDefault="00000000" w:rsidP="003D59C6">
      <w:pPr>
        <w:pStyle w:val="NoSpacing"/>
        <w:keepNext/>
        <w:keepLines/>
        <w:rPr>
          <w:rFonts w:ascii="Arial" w:hAnsi="Arial" w:cs="Arial"/>
          <w:color w:val="6F6F6F"/>
          <w:sz w:val="20"/>
          <w:szCs w:val="20"/>
          <w:lang w:val="nb-NO"/>
        </w:rPr>
      </w:pPr>
      <w:hyperlink r:id="rId20" w:history="1">
        <w:r w:rsidR="00A565AC" w:rsidRPr="00210E55">
          <w:rPr>
            <w:rStyle w:val="Hyperlink"/>
            <w:rFonts w:ascii="Arial" w:hAnsi="Arial" w:cs="Arial"/>
            <w:sz w:val="20"/>
            <w:szCs w:val="20"/>
            <w:lang w:val="nb-NO"/>
          </w:rPr>
          <w:t>elisabethhjardem.taudorf@almirall.com</w:t>
        </w:r>
      </w:hyperlink>
      <w:r w:rsidR="00A565AC" w:rsidRPr="00210E55">
        <w:rPr>
          <w:rFonts w:ascii="Arial" w:hAnsi="Arial" w:cs="Arial"/>
          <w:color w:val="6F6F6F"/>
          <w:sz w:val="20"/>
          <w:szCs w:val="20"/>
          <w:lang w:val="nb-NO"/>
        </w:rPr>
        <w:t xml:space="preserve"> | </w:t>
      </w:r>
      <w:r w:rsidR="00617998" w:rsidRPr="00210E55">
        <w:rPr>
          <w:rFonts w:ascii="Arial" w:hAnsi="Arial" w:cs="Arial"/>
          <w:color w:val="6F6F6F"/>
          <w:sz w:val="20"/>
          <w:szCs w:val="20"/>
          <w:lang w:val="nb-NO"/>
        </w:rPr>
        <w:t>(</w:t>
      </w:r>
      <w:r w:rsidR="00A565AC" w:rsidRPr="00210E55">
        <w:rPr>
          <w:rFonts w:ascii="Arial" w:hAnsi="Arial" w:cs="Arial"/>
          <w:color w:val="6F6F6F"/>
          <w:sz w:val="20"/>
          <w:szCs w:val="20"/>
          <w:lang w:val="nb-NO"/>
        </w:rPr>
        <w:t>+45</w:t>
      </w:r>
      <w:r w:rsidR="00617998" w:rsidRPr="00210E55">
        <w:rPr>
          <w:rFonts w:ascii="Arial" w:hAnsi="Arial" w:cs="Arial"/>
          <w:color w:val="6F6F6F"/>
          <w:sz w:val="20"/>
          <w:szCs w:val="20"/>
          <w:lang w:val="nb-NO"/>
        </w:rPr>
        <w:t>)</w:t>
      </w:r>
      <w:r w:rsidR="00A565AC" w:rsidRPr="00210E55">
        <w:rPr>
          <w:rFonts w:ascii="Arial" w:hAnsi="Arial" w:cs="Arial"/>
          <w:color w:val="6F6F6F"/>
          <w:sz w:val="20"/>
          <w:szCs w:val="20"/>
          <w:lang w:val="nb-NO"/>
        </w:rPr>
        <w:t xml:space="preserve"> 61683531</w:t>
      </w:r>
    </w:p>
    <w:p w14:paraId="1325D205" w14:textId="77777777" w:rsidR="00A94722" w:rsidRDefault="00A94722" w:rsidP="00D70D1C">
      <w:pPr>
        <w:pStyle w:val="NoSpacing"/>
        <w:rPr>
          <w:rFonts w:ascii="Arial" w:hAnsi="Arial" w:cs="Arial"/>
          <w:color w:val="6F6F6F"/>
          <w:lang w:val="nb-NO"/>
        </w:rPr>
      </w:pPr>
    </w:p>
    <w:p w14:paraId="39E2D707" w14:textId="7E22871D" w:rsidR="005802AE" w:rsidRDefault="00095986" w:rsidP="005802AE">
      <w:pPr>
        <w:pStyle w:val="NoSpacing"/>
        <w:keepNext/>
        <w:keepLines/>
        <w:rPr>
          <w:rFonts w:ascii="Arial" w:hAnsi="Arial" w:cs="Arial"/>
          <w:color w:val="6F6F6F"/>
          <w:lang w:val="nb-NO"/>
        </w:rPr>
      </w:pPr>
      <w:r>
        <w:rPr>
          <w:rFonts w:ascii="Arial" w:hAnsi="Arial" w:cs="Arial"/>
          <w:b/>
          <w:bCs/>
          <w:color w:val="00BEA0"/>
          <w:lang w:val="nb-NO"/>
        </w:rPr>
        <w:t xml:space="preserve">Plikttekst for </w:t>
      </w:r>
      <w:r w:rsidR="00E86D6B">
        <w:rPr>
          <w:rFonts w:ascii="Arial" w:hAnsi="Arial" w:cs="Arial"/>
          <w:b/>
          <w:bCs/>
          <w:color w:val="00BEA0"/>
          <w:lang w:val="nb-NO"/>
        </w:rPr>
        <w:t>LEBRIKIZUMAB</w:t>
      </w:r>
      <w:r w:rsidR="00A921A4">
        <w:rPr>
          <w:rFonts w:ascii="Arial" w:hAnsi="Arial" w:cs="Arial"/>
          <w:b/>
          <w:bCs/>
          <w:color w:val="00BEA0"/>
          <w:lang w:val="nb-NO"/>
        </w:rPr>
        <w:t>/</w:t>
      </w:r>
      <w:r w:rsidR="00E86D6B">
        <w:rPr>
          <w:rFonts w:ascii="Arial" w:hAnsi="Arial" w:cs="Arial"/>
          <w:b/>
          <w:bCs/>
          <w:color w:val="00BEA0"/>
          <w:lang w:val="nb-NO"/>
        </w:rPr>
        <w:t>EBGLYSS</w:t>
      </w:r>
    </w:p>
    <w:p w14:paraId="088AD363" w14:textId="15C27B26" w:rsidR="00FE5244" w:rsidRDefault="005802AE" w:rsidP="002D5144">
      <w:pPr>
        <w:pStyle w:val="NoSpacing"/>
        <w:keepNext/>
        <w:keepLines/>
        <w:rPr>
          <w:rFonts w:ascii="Arial" w:hAnsi="Arial" w:cs="Arial"/>
          <w:color w:val="6F6F6F"/>
          <w:lang w:val="nb-NO"/>
        </w:rPr>
      </w:pPr>
      <w:r w:rsidRPr="005802AE">
        <w:rPr>
          <w:rFonts w:ascii="Arial" w:hAnsi="Arial" w:cs="Arial"/>
          <w:lang w:val="nb-NO"/>
        </w:rPr>
        <w:t>▼</w:t>
      </w:r>
      <w:r>
        <w:rPr>
          <w:rFonts w:ascii="Arial" w:hAnsi="Arial" w:cs="Arial"/>
          <w:color w:val="6F6F6F"/>
          <w:lang w:val="nb-NO"/>
        </w:rPr>
        <w:t xml:space="preserve"> </w:t>
      </w:r>
      <w:r w:rsidR="002D5144">
        <w:rPr>
          <w:rFonts w:ascii="Arial" w:hAnsi="Arial" w:cs="Arial"/>
          <w:color w:val="6F6F6F"/>
          <w:lang w:val="nb-NO"/>
        </w:rPr>
        <w:t>[</w:t>
      </w:r>
      <w:r w:rsidR="002D5144" w:rsidRPr="002D5144">
        <w:rPr>
          <w:rFonts w:ascii="Arial" w:hAnsi="Arial" w:cs="Arial"/>
          <w:color w:val="6F6F6F"/>
          <w:lang w:val="nb-NO"/>
        </w:rPr>
        <w:t>abbreviated product information</w:t>
      </w:r>
      <w:r w:rsidR="002D5144">
        <w:rPr>
          <w:rFonts w:ascii="Arial" w:hAnsi="Arial" w:cs="Arial"/>
          <w:color w:val="6F6F6F"/>
          <w:lang w:val="nb-NO"/>
        </w:rPr>
        <w:t>]</w:t>
      </w:r>
    </w:p>
    <w:p w14:paraId="68595B35" w14:textId="77777777" w:rsidR="00A94722" w:rsidRDefault="00A94722" w:rsidP="00D70D1C">
      <w:pPr>
        <w:pStyle w:val="NoSpacing"/>
        <w:rPr>
          <w:rFonts w:ascii="Arial" w:hAnsi="Arial" w:cs="Arial"/>
          <w:color w:val="6F6F6F"/>
          <w:lang w:val="nb-NO"/>
        </w:rPr>
      </w:pPr>
    </w:p>
    <w:p w14:paraId="5FA8E193" w14:textId="17163808" w:rsidR="00D70D1C" w:rsidRDefault="00D70D1C" w:rsidP="00297E02">
      <w:pPr>
        <w:pStyle w:val="NoSpacing"/>
        <w:keepNext/>
        <w:keepLines/>
        <w:rPr>
          <w:rFonts w:ascii="Arial" w:hAnsi="Arial" w:cs="Arial"/>
          <w:b/>
          <w:bCs/>
          <w:color w:val="00BEA0"/>
          <w:lang w:val="nb-NO"/>
        </w:rPr>
      </w:pPr>
      <w:r w:rsidRPr="00FE5244">
        <w:rPr>
          <w:rFonts w:ascii="Arial" w:hAnsi="Arial" w:cs="Arial"/>
          <w:b/>
          <w:bCs/>
          <w:color w:val="00BEA0"/>
          <w:lang w:val="nb-NO"/>
        </w:rPr>
        <w:t>Ref</w:t>
      </w:r>
      <w:r w:rsidR="00602464">
        <w:rPr>
          <w:rFonts w:ascii="Arial" w:hAnsi="Arial" w:cs="Arial"/>
          <w:b/>
          <w:bCs/>
          <w:color w:val="00BEA0"/>
          <w:lang w:val="nb-NO"/>
        </w:rPr>
        <w:t>eran</w:t>
      </w:r>
      <w:r w:rsidR="002D5144">
        <w:rPr>
          <w:rFonts w:ascii="Arial" w:hAnsi="Arial" w:cs="Arial"/>
          <w:b/>
          <w:bCs/>
          <w:color w:val="00BEA0"/>
          <w:lang w:val="nb-NO"/>
        </w:rPr>
        <w:t>ces</w:t>
      </w:r>
    </w:p>
    <w:p w14:paraId="40907EF4" w14:textId="77777777" w:rsidR="00E140F7" w:rsidRDefault="00E140F7" w:rsidP="00297E02">
      <w:pPr>
        <w:pStyle w:val="NoSpacing"/>
        <w:keepNext/>
        <w:keepLines/>
        <w:numPr>
          <w:ilvl w:val="0"/>
          <w:numId w:val="1"/>
        </w:numPr>
        <w:ind w:left="284" w:hanging="284"/>
        <w:rPr>
          <w:rFonts w:ascii="Arial" w:hAnsi="Arial" w:cs="Arial"/>
          <w:color w:val="6F6F6F"/>
          <w:sz w:val="12"/>
          <w:szCs w:val="12"/>
          <w:lang w:val="nb-NO"/>
        </w:rPr>
        <w:sectPr w:rsidR="00E140F7" w:rsidSect="00FD39FE">
          <w:headerReference w:type="even" r:id="rId21"/>
          <w:footerReference w:type="default" r:id="rId22"/>
          <w:headerReference w:type="first" r:id="rId23"/>
          <w:pgSz w:w="11906" w:h="16838"/>
          <w:pgMar w:top="737" w:right="737" w:bottom="907" w:left="737" w:header="709" w:footer="709" w:gutter="0"/>
          <w:cols w:space="708"/>
          <w:docGrid w:linePitch="360"/>
        </w:sectPr>
      </w:pPr>
    </w:p>
    <w:p w14:paraId="0184EB25" w14:textId="1BBA586B"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European Medicines Agency. </w:t>
      </w:r>
      <w:r w:rsidR="00E86D6B">
        <w:rPr>
          <w:rFonts w:ascii="Arial" w:hAnsi="Arial" w:cs="Arial"/>
          <w:color w:val="6F6F6F"/>
          <w:sz w:val="12"/>
          <w:szCs w:val="12"/>
          <w:lang w:val="nb-NO"/>
        </w:rPr>
        <w:t>EBGLYSS</w:t>
      </w:r>
      <w:r w:rsidRPr="00BD29AB">
        <w:rPr>
          <w:rFonts w:ascii="Arial" w:hAnsi="Arial" w:cs="Arial"/>
          <w:color w:val="6F6F6F"/>
          <w:sz w:val="12"/>
          <w:szCs w:val="12"/>
          <w:lang w:val="nb-NO"/>
        </w:rPr>
        <w:t xml:space="preserve"> preparatomtalen [Internet]. 2023 [cited 2024 Jan 2]. Available from: https://www.ema.europa.eu/no/documents/product-information/</w:t>
      </w:r>
      <w:r w:rsidR="00E86D6B">
        <w:rPr>
          <w:rFonts w:ascii="Arial" w:hAnsi="Arial" w:cs="Arial"/>
          <w:color w:val="6F6F6F"/>
          <w:sz w:val="12"/>
          <w:szCs w:val="12"/>
          <w:lang w:val="nb-NO"/>
        </w:rPr>
        <w:t>EBGLYSS</w:t>
      </w:r>
      <w:r w:rsidRPr="00BD29AB">
        <w:rPr>
          <w:rFonts w:ascii="Arial" w:hAnsi="Arial" w:cs="Arial"/>
          <w:color w:val="6F6F6F"/>
          <w:sz w:val="12"/>
          <w:szCs w:val="12"/>
          <w:lang w:val="nb-NO"/>
        </w:rPr>
        <w:t>-epar-product-information_no.pdf</w:t>
      </w:r>
    </w:p>
    <w:p w14:paraId="633D97EC"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Bieber T. Interleukin-13: Targeting an underestimated cytokine in atopic dermatitis. </w:t>
      </w:r>
      <w:r w:rsidRPr="00BD29AB">
        <w:rPr>
          <w:rFonts w:ascii="Arial" w:hAnsi="Arial" w:cs="Arial"/>
          <w:i/>
          <w:iCs/>
          <w:color w:val="6F6F6F"/>
          <w:sz w:val="12"/>
          <w:szCs w:val="12"/>
          <w:lang w:val="nb-NO"/>
        </w:rPr>
        <w:t>Allergy</w:t>
      </w:r>
      <w:r w:rsidRPr="00BD29AB">
        <w:rPr>
          <w:rFonts w:ascii="Arial" w:hAnsi="Arial" w:cs="Arial"/>
          <w:color w:val="6F6F6F"/>
          <w:sz w:val="12"/>
          <w:szCs w:val="12"/>
          <w:lang w:val="nb-NO"/>
        </w:rPr>
        <w:t>. 2020 Jan;75(1):54-62.</w:t>
      </w:r>
    </w:p>
    <w:p w14:paraId="4CFA1C64"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Suárez-Fariñas M, Tintle SJ, Shemer A, Chiricozzi A, Nograles K, Cardinale I, et al. Nonlesional atopic dermatitis skin is characterized by broad terminal differentiation defects and variable immune abnormalities. </w:t>
      </w:r>
      <w:r w:rsidRPr="00BD29AB">
        <w:rPr>
          <w:rFonts w:ascii="Arial" w:hAnsi="Arial" w:cs="Arial"/>
          <w:i/>
          <w:iCs/>
          <w:color w:val="6F6F6F"/>
          <w:sz w:val="12"/>
          <w:szCs w:val="12"/>
          <w:lang w:val="nb-NO"/>
        </w:rPr>
        <w:t>J Allergy Clin Immunol</w:t>
      </w:r>
      <w:r w:rsidRPr="00BD29AB">
        <w:rPr>
          <w:rFonts w:ascii="Arial" w:hAnsi="Arial" w:cs="Arial"/>
          <w:color w:val="6F6F6F"/>
          <w:sz w:val="12"/>
          <w:szCs w:val="12"/>
          <w:lang w:val="nb-NO"/>
        </w:rPr>
        <w:t>. 2011 Apr;127(4):954-64.e1-4.</w:t>
      </w:r>
    </w:p>
    <w:p w14:paraId="321FFD99"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La Grutta S, Richiusa P, Pizzolanti G, Mattina A, Pajno GB, Citarrella R, et al. CD4(+)IL-13(+) cells in peripheral blood well correlates with the severity of atopic dermatitis in children. </w:t>
      </w:r>
      <w:r w:rsidRPr="00BD29AB">
        <w:rPr>
          <w:rFonts w:ascii="Arial" w:hAnsi="Arial" w:cs="Arial"/>
          <w:i/>
          <w:iCs/>
          <w:color w:val="6F6F6F"/>
          <w:sz w:val="12"/>
          <w:szCs w:val="12"/>
          <w:lang w:val="nb-NO"/>
        </w:rPr>
        <w:t>Allergy</w:t>
      </w:r>
      <w:r w:rsidRPr="00BD29AB">
        <w:rPr>
          <w:rFonts w:ascii="Arial" w:hAnsi="Arial" w:cs="Arial"/>
          <w:color w:val="6F6F6F"/>
          <w:sz w:val="12"/>
          <w:szCs w:val="12"/>
          <w:lang w:val="nb-NO"/>
        </w:rPr>
        <w:t>. 2005 Mar;60(3):391-5.</w:t>
      </w:r>
    </w:p>
    <w:p w14:paraId="1050A52F"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Renert-Yuval Y, Del Duca E, Pavel AB, Fang M, Lefferdink R, Wu J, et al. The molecular features of normal and atopic dermatitis skin in infants, children, adolescents, and adults. </w:t>
      </w:r>
      <w:r w:rsidRPr="00BD29AB">
        <w:rPr>
          <w:rFonts w:ascii="Arial" w:hAnsi="Arial" w:cs="Arial"/>
          <w:i/>
          <w:iCs/>
          <w:color w:val="6F6F6F"/>
          <w:sz w:val="12"/>
          <w:szCs w:val="12"/>
          <w:lang w:val="nb-NO"/>
        </w:rPr>
        <w:t>J Allergy Clin Immunol</w:t>
      </w:r>
      <w:r w:rsidRPr="00BD29AB">
        <w:rPr>
          <w:rFonts w:ascii="Arial" w:hAnsi="Arial" w:cs="Arial"/>
          <w:color w:val="6F6F6F"/>
          <w:sz w:val="12"/>
          <w:szCs w:val="12"/>
          <w:lang w:val="nb-NO"/>
        </w:rPr>
        <w:t>. 2021 Jul;148(1):148-63.</w:t>
      </w:r>
    </w:p>
    <w:p w14:paraId="00DDC44F"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Czarnowicki T, He H, Canter T, Han J, Lefferdink R, Erickson T, et al. Evolution of pathologic T-cell subsets in patients with atopic dermatitis from infancy to adulthood. </w:t>
      </w:r>
      <w:r w:rsidRPr="00BD29AB">
        <w:rPr>
          <w:rFonts w:ascii="Arial" w:hAnsi="Arial" w:cs="Arial"/>
          <w:i/>
          <w:iCs/>
          <w:color w:val="6F6F6F"/>
          <w:sz w:val="12"/>
          <w:szCs w:val="12"/>
          <w:lang w:val="nb-NO"/>
        </w:rPr>
        <w:t>J Allergy Clin Immunol</w:t>
      </w:r>
      <w:r w:rsidRPr="00BD29AB">
        <w:rPr>
          <w:rFonts w:ascii="Arial" w:hAnsi="Arial" w:cs="Arial"/>
          <w:color w:val="6F6F6F"/>
          <w:sz w:val="12"/>
          <w:szCs w:val="12"/>
          <w:lang w:val="nb-NO"/>
        </w:rPr>
        <w:t>. 2020 Jan;145(1):215-28.</w:t>
      </w:r>
    </w:p>
    <w:p w14:paraId="56C0C212" w14:textId="43053EB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Okragly AJ, Ryuzoji A, Wulur I, Daniels M, Van Horn RD, Patel CN, et al. Binding, Neutralization and Internalization of the Interleukin-13 Antibody, </w:t>
      </w:r>
      <w:r w:rsidR="00E86D6B">
        <w:rPr>
          <w:rFonts w:ascii="Arial" w:hAnsi="Arial" w:cs="Arial"/>
          <w:color w:val="6F6F6F"/>
          <w:sz w:val="12"/>
          <w:szCs w:val="12"/>
          <w:lang w:val="nb-NO"/>
        </w:rPr>
        <w:t>LEBRIKIZUMAB</w:t>
      </w:r>
      <w:r w:rsidRPr="00BD29AB">
        <w:rPr>
          <w:rFonts w:ascii="Arial" w:hAnsi="Arial" w:cs="Arial"/>
          <w:color w:val="6F6F6F"/>
          <w:sz w:val="12"/>
          <w:szCs w:val="12"/>
          <w:lang w:val="nb-NO"/>
        </w:rPr>
        <w:t xml:space="preserve">. </w:t>
      </w:r>
      <w:r w:rsidRPr="00BD29AB">
        <w:rPr>
          <w:rFonts w:ascii="Arial" w:hAnsi="Arial" w:cs="Arial"/>
          <w:i/>
          <w:iCs/>
          <w:color w:val="6F6F6F"/>
          <w:sz w:val="12"/>
          <w:szCs w:val="12"/>
          <w:lang w:val="nb-NO"/>
        </w:rPr>
        <w:t>Dermatol Ther (Heidelb).</w:t>
      </w:r>
      <w:r w:rsidRPr="00BD29AB">
        <w:rPr>
          <w:rFonts w:ascii="Arial" w:hAnsi="Arial" w:cs="Arial"/>
          <w:color w:val="6F6F6F"/>
          <w:sz w:val="12"/>
          <w:szCs w:val="12"/>
          <w:lang w:val="nb-NO"/>
        </w:rPr>
        <w:t xml:space="preserve"> 2023 Jul;13(7):1535-47.</w:t>
      </w:r>
    </w:p>
    <w:p w14:paraId="3BE20F4C"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Heeb LEM, Boyman O. Comprehensive analysis of human IL-4 receptor subunits shows compartmentalization in steady state and dupilumab treatment. </w:t>
      </w:r>
      <w:r w:rsidRPr="00BD29AB">
        <w:rPr>
          <w:rFonts w:ascii="Arial" w:hAnsi="Arial" w:cs="Arial"/>
          <w:i/>
          <w:iCs/>
          <w:color w:val="6F6F6F"/>
          <w:sz w:val="12"/>
          <w:szCs w:val="12"/>
          <w:lang w:val="nb-NO"/>
        </w:rPr>
        <w:t>Allergy</w:t>
      </w:r>
      <w:r w:rsidRPr="00BD29AB">
        <w:rPr>
          <w:rFonts w:ascii="Arial" w:hAnsi="Arial" w:cs="Arial"/>
          <w:color w:val="6F6F6F"/>
          <w:sz w:val="12"/>
          <w:szCs w:val="12"/>
          <w:lang w:val="nb-NO"/>
        </w:rPr>
        <w:t>. 2023 Apr;78(4):1073-87.</w:t>
      </w:r>
    </w:p>
    <w:p w14:paraId="6A71A4FB" w14:textId="6A5A3DEA" w:rsidR="00ED48ED" w:rsidRPr="00BD29AB" w:rsidRDefault="00973026" w:rsidP="00297E02">
      <w:pPr>
        <w:pStyle w:val="NoSpacing"/>
        <w:keepNext/>
        <w:keepLines/>
        <w:numPr>
          <w:ilvl w:val="0"/>
          <w:numId w:val="1"/>
        </w:numPr>
        <w:ind w:left="284" w:hanging="284"/>
        <w:rPr>
          <w:rFonts w:ascii="Arial" w:hAnsi="Arial" w:cs="Arial"/>
          <w:color w:val="6F6F6F"/>
          <w:sz w:val="12"/>
          <w:szCs w:val="12"/>
          <w:lang w:val="nb-NO"/>
        </w:rPr>
      </w:pPr>
      <w:r>
        <w:rPr>
          <w:rFonts w:ascii="Arial" w:hAnsi="Arial" w:cs="Arial"/>
          <w:color w:val="6F6F6F"/>
          <w:sz w:val="12"/>
          <w:szCs w:val="12"/>
          <w:lang w:val="nb-NO"/>
        </w:rPr>
        <w:br w:type="column"/>
      </w:r>
      <w:r w:rsidR="00ED48ED" w:rsidRPr="00BD29AB">
        <w:rPr>
          <w:rFonts w:ascii="Arial" w:hAnsi="Arial" w:cs="Arial"/>
          <w:color w:val="6F6F6F"/>
          <w:sz w:val="12"/>
          <w:szCs w:val="12"/>
          <w:lang w:val="nb-NO"/>
        </w:rPr>
        <w:t xml:space="preserve">Gonçalves F, Freitas E, Torres T. Selective IL-13 inhibitors for the treatment of atopic dermatitis. </w:t>
      </w:r>
      <w:r w:rsidR="00ED48ED" w:rsidRPr="00BD29AB">
        <w:rPr>
          <w:rFonts w:ascii="Arial" w:hAnsi="Arial" w:cs="Arial"/>
          <w:i/>
          <w:iCs/>
          <w:color w:val="6F6F6F"/>
          <w:sz w:val="12"/>
          <w:szCs w:val="12"/>
          <w:lang w:val="nb-NO"/>
        </w:rPr>
        <w:t>Drugs Context</w:t>
      </w:r>
      <w:r w:rsidR="00ED48ED" w:rsidRPr="00BD29AB">
        <w:rPr>
          <w:rFonts w:ascii="Arial" w:hAnsi="Arial" w:cs="Arial"/>
          <w:color w:val="6F6F6F"/>
          <w:sz w:val="12"/>
          <w:szCs w:val="12"/>
          <w:lang w:val="nb-NO"/>
        </w:rPr>
        <w:t>. 2021;10:2021-1-7.</w:t>
      </w:r>
    </w:p>
    <w:p w14:paraId="24D3313D"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Andrews AL, Nasir T, Bucchieri F, Holloway JW, Holgate ST, Davies DE. IL-13 receptor alpha 2: a regulator of IL-13 and IL-4 signal transduction in primary human fibroblasts. </w:t>
      </w:r>
      <w:r w:rsidRPr="00BD29AB">
        <w:rPr>
          <w:rFonts w:ascii="Arial" w:hAnsi="Arial" w:cs="Arial"/>
          <w:i/>
          <w:iCs/>
          <w:color w:val="6F6F6F"/>
          <w:sz w:val="12"/>
          <w:szCs w:val="12"/>
          <w:lang w:val="nb-NO"/>
        </w:rPr>
        <w:t>J Allergy Clin Immunol</w:t>
      </w:r>
      <w:r w:rsidRPr="00BD29AB">
        <w:rPr>
          <w:rFonts w:ascii="Arial" w:hAnsi="Arial" w:cs="Arial"/>
          <w:color w:val="6F6F6F"/>
          <w:sz w:val="12"/>
          <w:szCs w:val="12"/>
          <w:lang w:val="nb-NO"/>
        </w:rPr>
        <w:t>. 2006 Oct;118(4):858-65.</w:t>
      </w:r>
    </w:p>
    <w:p w14:paraId="5514B4E5"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Ulzii D, Kido-Nakahara M, Nakahara T, Tsuji G, Furue K, Hashimoto-Hachiya A, et al. Scratching Counteracts IL-13 Signaling by Upregulating the Decoy Receptor IL-13Rα2 in Keratinocytes</w:t>
      </w:r>
      <w:r w:rsidRPr="00BD29AB">
        <w:rPr>
          <w:rFonts w:ascii="Arial" w:hAnsi="Arial" w:cs="Arial"/>
          <w:i/>
          <w:iCs/>
          <w:color w:val="6F6F6F"/>
          <w:sz w:val="12"/>
          <w:szCs w:val="12"/>
          <w:lang w:val="nb-NO"/>
        </w:rPr>
        <w:t>. Int J Mol Sci</w:t>
      </w:r>
      <w:r w:rsidRPr="00BD29AB">
        <w:rPr>
          <w:rFonts w:ascii="Arial" w:hAnsi="Arial" w:cs="Arial"/>
          <w:color w:val="6F6F6F"/>
          <w:sz w:val="12"/>
          <w:szCs w:val="12"/>
          <w:lang w:val="nb-NO"/>
        </w:rPr>
        <w:t>. 2019 Jul 6;20(13):3324.</w:t>
      </w:r>
    </w:p>
    <w:p w14:paraId="166C96D3" w14:textId="77777777"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Moyle M, Cevikbas F, Harden JL, Guttman-Yassky E. Understanding the immune landscape in atopic dermatitis: The era of biologics and emerging therapeutic approaches</w:t>
      </w:r>
      <w:r w:rsidRPr="00BD29AB">
        <w:rPr>
          <w:rFonts w:ascii="Arial" w:hAnsi="Arial" w:cs="Arial"/>
          <w:i/>
          <w:iCs/>
          <w:color w:val="6F6F6F"/>
          <w:sz w:val="12"/>
          <w:szCs w:val="12"/>
          <w:lang w:val="nb-NO"/>
        </w:rPr>
        <w:t>. Exp Dermatol</w:t>
      </w:r>
      <w:r w:rsidRPr="00BD29AB">
        <w:rPr>
          <w:rFonts w:ascii="Arial" w:hAnsi="Arial" w:cs="Arial"/>
          <w:color w:val="6F6F6F"/>
          <w:sz w:val="12"/>
          <w:szCs w:val="12"/>
          <w:lang w:val="nb-NO"/>
        </w:rPr>
        <w:t>. 2019 Jul;28(7):756-68.</w:t>
      </w:r>
    </w:p>
    <w:p w14:paraId="5EE2EA20" w14:textId="3338D501"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Silverberg JI, Guttman-Yassky E, Thaçi D, Irvine AD, Stein Gold L, Blauvelt A, et al. Two Phase 3 Trials of </w:t>
      </w:r>
      <w:r w:rsidR="00E86D6B">
        <w:rPr>
          <w:rFonts w:ascii="Arial" w:hAnsi="Arial" w:cs="Arial"/>
          <w:color w:val="6F6F6F"/>
          <w:sz w:val="12"/>
          <w:szCs w:val="12"/>
          <w:lang w:val="nb-NO"/>
        </w:rPr>
        <w:t>LEBRIKIZUMAB</w:t>
      </w:r>
      <w:r w:rsidRPr="00BD29AB">
        <w:rPr>
          <w:rFonts w:ascii="Arial" w:hAnsi="Arial" w:cs="Arial"/>
          <w:color w:val="6F6F6F"/>
          <w:sz w:val="12"/>
          <w:szCs w:val="12"/>
          <w:lang w:val="nb-NO"/>
        </w:rPr>
        <w:t xml:space="preserve"> for Moderate-to-Severe Atopic Dermatitis. </w:t>
      </w:r>
      <w:r w:rsidRPr="00BD29AB">
        <w:rPr>
          <w:rFonts w:ascii="Arial" w:hAnsi="Arial" w:cs="Arial"/>
          <w:i/>
          <w:iCs/>
          <w:color w:val="6F6F6F"/>
          <w:sz w:val="12"/>
          <w:szCs w:val="12"/>
          <w:lang w:val="nb-NO"/>
        </w:rPr>
        <w:t>N Engl J Med</w:t>
      </w:r>
      <w:r w:rsidRPr="00BD29AB">
        <w:rPr>
          <w:rFonts w:ascii="Arial" w:hAnsi="Arial" w:cs="Arial"/>
          <w:color w:val="6F6F6F"/>
          <w:sz w:val="12"/>
          <w:szCs w:val="12"/>
          <w:lang w:val="nb-NO"/>
        </w:rPr>
        <w:t>. 2023 Mar 23;388(12):1080-91.</w:t>
      </w:r>
    </w:p>
    <w:p w14:paraId="423CC6C9" w14:textId="74603D0D" w:rsidR="00ED48ED" w:rsidRPr="00BD29AB"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Blauvelt A, Thyssen JP, Guttman-Yassky E, Bieber T, Serra-Baldrich E, Simpson E, et al. Efficacy and safety of </w:t>
      </w:r>
      <w:r w:rsidR="00E86D6B">
        <w:rPr>
          <w:rFonts w:ascii="Arial" w:hAnsi="Arial" w:cs="Arial"/>
          <w:color w:val="6F6F6F"/>
          <w:sz w:val="12"/>
          <w:szCs w:val="12"/>
          <w:lang w:val="nb-NO"/>
        </w:rPr>
        <w:t>LEBRIKIZUMAB</w:t>
      </w:r>
      <w:r w:rsidRPr="00BD29AB">
        <w:rPr>
          <w:rFonts w:ascii="Arial" w:hAnsi="Arial" w:cs="Arial"/>
          <w:color w:val="6F6F6F"/>
          <w:sz w:val="12"/>
          <w:szCs w:val="12"/>
          <w:lang w:val="nb-NO"/>
        </w:rPr>
        <w:t xml:space="preserve"> in moderate-to-severe atopic dermatitis: 52-week results of two randomized double-blinded placebo-controlled phase III trials</w:t>
      </w:r>
      <w:r w:rsidRPr="00BD29AB">
        <w:rPr>
          <w:rFonts w:ascii="Arial" w:hAnsi="Arial" w:cs="Arial"/>
          <w:i/>
          <w:iCs/>
          <w:color w:val="6F6F6F"/>
          <w:sz w:val="12"/>
          <w:szCs w:val="12"/>
          <w:lang w:val="nb-NO"/>
        </w:rPr>
        <w:t>. Br J Dermatol</w:t>
      </w:r>
      <w:r w:rsidRPr="00BD29AB">
        <w:rPr>
          <w:rFonts w:ascii="Arial" w:hAnsi="Arial" w:cs="Arial"/>
          <w:color w:val="6F6F6F"/>
          <w:sz w:val="12"/>
          <w:szCs w:val="12"/>
          <w:lang w:val="nb-NO"/>
        </w:rPr>
        <w:t>. 2023 May 24;188(6):740-8.</w:t>
      </w:r>
    </w:p>
    <w:p w14:paraId="2BDFAE74" w14:textId="167F4C4B" w:rsidR="00ED48ED" w:rsidRDefault="00ED48ED" w:rsidP="00297E02">
      <w:pPr>
        <w:pStyle w:val="NoSpacing"/>
        <w:keepNext/>
        <w:keepLines/>
        <w:numPr>
          <w:ilvl w:val="0"/>
          <w:numId w:val="1"/>
        </w:numPr>
        <w:ind w:left="284" w:hanging="284"/>
        <w:rPr>
          <w:rFonts w:ascii="Arial" w:hAnsi="Arial" w:cs="Arial"/>
          <w:color w:val="6F6F6F"/>
          <w:sz w:val="12"/>
          <w:szCs w:val="12"/>
          <w:lang w:val="nb-NO"/>
        </w:rPr>
      </w:pPr>
      <w:r w:rsidRPr="00BD29AB">
        <w:rPr>
          <w:rFonts w:ascii="Arial" w:hAnsi="Arial" w:cs="Arial"/>
          <w:color w:val="6F6F6F"/>
          <w:sz w:val="12"/>
          <w:szCs w:val="12"/>
          <w:lang w:val="nb-NO"/>
        </w:rPr>
        <w:t xml:space="preserve">Simpson EL, Gooderham M, Wollenberg A, Weidinger S, Armstrong A, Soung J, et al. Efficacy and Safety of </w:t>
      </w:r>
      <w:r w:rsidR="00E86D6B">
        <w:rPr>
          <w:rFonts w:ascii="Arial" w:hAnsi="Arial" w:cs="Arial"/>
          <w:color w:val="6F6F6F"/>
          <w:sz w:val="12"/>
          <w:szCs w:val="12"/>
          <w:lang w:val="nb-NO"/>
        </w:rPr>
        <w:t>LEBRIKIZUMAB</w:t>
      </w:r>
      <w:r w:rsidRPr="00BD29AB">
        <w:rPr>
          <w:rFonts w:ascii="Arial" w:hAnsi="Arial" w:cs="Arial"/>
          <w:color w:val="6F6F6F"/>
          <w:sz w:val="12"/>
          <w:szCs w:val="12"/>
          <w:lang w:val="nb-NO"/>
        </w:rPr>
        <w:t xml:space="preserve"> in Combination With Topical Corticosteroids in Adolescents and Adults With Moderate-to-Severe Atopic Dermatitis: A Randomized Clinical Trial (ADhere). </w:t>
      </w:r>
      <w:r w:rsidRPr="00BD29AB">
        <w:rPr>
          <w:rFonts w:ascii="Arial" w:hAnsi="Arial" w:cs="Arial"/>
          <w:i/>
          <w:iCs/>
          <w:color w:val="6F6F6F"/>
          <w:sz w:val="12"/>
          <w:szCs w:val="12"/>
          <w:lang w:val="nb-NO"/>
        </w:rPr>
        <w:t>JAMA Dermatol</w:t>
      </w:r>
      <w:r w:rsidRPr="00BD29AB">
        <w:rPr>
          <w:rFonts w:ascii="Arial" w:hAnsi="Arial" w:cs="Arial"/>
          <w:color w:val="6F6F6F"/>
          <w:sz w:val="12"/>
          <w:szCs w:val="12"/>
          <w:lang w:val="nb-NO"/>
        </w:rPr>
        <w:t>. 2023 Feb 1;159(2):182-91.</w:t>
      </w:r>
    </w:p>
    <w:p w14:paraId="22723F4B" w14:textId="77777777" w:rsidR="00973026" w:rsidRPr="00BD29AB" w:rsidRDefault="00973026" w:rsidP="00973026">
      <w:pPr>
        <w:pStyle w:val="NoSpacing"/>
        <w:keepNext/>
        <w:keepLines/>
        <w:rPr>
          <w:rFonts w:ascii="Arial" w:hAnsi="Arial" w:cs="Arial"/>
          <w:color w:val="6F6F6F"/>
          <w:sz w:val="12"/>
          <w:szCs w:val="12"/>
          <w:lang w:val="nb-NO"/>
        </w:rPr>
      </w:pPr>
    </w:p>
    <w:sectPr w:rsidR="00973026" w:rsidRPr="00BD29AB" w:rsidSect="00FD39FE">
      <w:type w:val="continuous"/>
      <w:pgSz w:w="11906" w:h="16838"/>
      <w:pgMar w:top="737" w:right="737" w:bottom="907" w:left="73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5732" w14:textId="77777777" w:rsidR="00FD39FE" w:rsidRDefault="00FD39FE" w:rsidP="00D70D1C">
      <w:pPr>
        <w:spacing w:after="0" w:line="240" w:lineRule="auto"/>
      </w:pPr>
      <w:r>
        <w:separator/>
      </w:r>
    </w:p>
  </w:endnote>
  <w:endnote w:type="continuationSeparator" w:id="0">
    <w:p w14:paraId="722D00F9" w14:textId="77777777" w:rsidR="00FD39FE" w:rsidRDefault="00FD39FE" w:rsidP="00D70D1C">
      <w:pPr>
        <w:spacing w:after="0" w:line="240" w:lineRule="auto"/>
      </w:pPr>
      <w:r>
        <w:continuationSeparator/>
      </w:r>
    </w:p>
  </w:endnote>
  <w:endnote w:type="continuationNotice" w:id="1">
    <w:p w14:paraId="4F46BBBC" w14:textId="77777777" w:rsidR="00FD39FE" w:rsidRDefault="00FD3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2D01" w14:textId="12A23D6E" w:rsidR="00D70D1C" w:rsidRPr="00D70D1C" w:rsidRDefault="00D70D1C" w:rsidP="002177E9">
    <w:pPr>
      <w:pStyle w:val="Footer"/>
      <w:ind w:firstLine="1304"/>
      <w:rPr>
        <w:rFonts w:ascii="Arial" w:hAnsi="Arial" w:cs="Arial"/>
        <w:sz w:val="16"/>
        <w:szCs w:val="16"/>
      </w:rPr>
    </w:pPr>
    <w:r>
      <w:rPr>
        <w:noProof/>
      </w:rPr>
      <w:drawing>
        <wp:anchor distT="0" distB="0" distL="114300" distR="114300" simplePos="0" relativeHeight="251658240" behindDoc="0" locked="0" layoutInCell="1" allowOverlap="1" wp14:anchorId="5B526B8E" wp14:editId="69C50792">
          <wp:simplePos x="0" y="0"/>
          <wp:positionH relativeFrom="margin">
            <wp:align>left</wp:align>
          </wp:positionH>
          <wp:positionV relativeFrom="paragraph">
            <wp:posOffset>-127000</wp:posOffset>
          </wp:positionV>
          <wp:extent cx="1122045" cy="475615"/>
          <wp:effectExtent l="0" t="0" r="0" b="0"/>
          <wp:wrapNone/>
          <wp:docPr id="604990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75615"/>
                  </a:xfrm>
                  <a:prstGeom prst="rect">
                    <a:avLst/>
                  </a:prstGeom>
                  <a:noFill/>
                </pic:spPr>
              </pic:pic>
            </a:graphicData>
          </a:graphic>
        </wp:anchor>
      </w:drawing>
    </w:r>
    <w:r w:rsidR="002177E9">
      <w:rPr>
        <w:rFonts w:ascii="Arial" w:hAnsi="Arial" w:cs="Arial"/>
        <w:sz w:val="16"/>
        <w:szCs w:val="16"/>
      </w:rPr>
      <w:t xml:space="preserve">          </w:t>
    </w:r>
    <w:r w:rsidR="00E83B48">
      <w:rPr>
        <w:rFonts w:ascii="Arial" w:hAnsi="Arial" w:cs="Arial"/>
        <w:sz w:val="16"/>
        <w:szCs w:val="16"/>
      </w:rPr>
      <w:t xml:space="preserve">         </w:t>
    </w:r>
    <w:r w:rsidR="00734BF1">
      <w:rPr>
        <w:rFonts w:ascii="Arial" w:hAnsi="Arial" w:cs="Arial"/>
        <w:sz w:val="16"/>
        <w:szCs w:val="16"/>
      </w:rPr>
      <w:t>A</w:t>
    </w:r>
    <w:r w:rsidR="00290D16" w:rsidRPr="00734BF1">
      <w:rPr>
        <w:rFonts w:ascii="Arial" w:hAnsi="Arial" w:cs="Arial"/>
        <w:sz w:val="16"/>
        <w:szCs w:val="16"/>
      </w:rPr>
      <w:t>lmirall A</w:t>
    </w:r>
    <w:r w:rsidR="007922B0">
      <w:rPr>
        <w:rFonts w:ascii="Arial" w:hAnsi="Arial" w:cs="Arial"/>
        <w:sz w:val="16"/>
        <w:szCs w:val="16"/>
      </w:rPr>
      <w:t>p</w:t>
    </w:r>
    <w:r w:rsidR="00290D16" w:rsidRPr="00734BF1">
      <w:rPr>
        <w:rFonts w:ascii="Arial" w:hAnsi="Arial" w:cs="Arial"/>
        <w:sz w:val="16"/>
        <w:szCs w:val="16"/>
      </w:rPr>
      <w:t>S</w:t>
    </w:r>
    <w:r w:rsidR="00A15F5C">
      <w:rPr>
        <w:rFonts w:ascii="Arial" w:hAnsi="Arial" w:cs="Arial"/>
        <w:sz w:val="16"/>
        <w:szCs w:val="16"/>
      </w:rPr>
      <w:t xml:space="preserve"> |</w:t>
    </w:r>
    <w:r w:rsidR="00290D16" w:rsidRPr="00734BF1">
      <w:rPr>
        <w:rFonts w:ascii="Arial" w:hAnsi="Arial" w:cs="Arial"/>
        <w:sz w:val="16"/>
        <w:szCs w:val="16"/>
      </w:rPr>
      <w:t xml:space="preserve"> Vandtårnsvej 77, 2860 Søborg</w:t>
    </w:r>
    <w:r w:rsidR="00A15F5C">
      <w:rPr>
        <w:rFonts w:ascii="Arial" w:hAnsi="Arial" w:cs="Arial"/>
        <w:sz w:val="16"/>
        <w:szCs w:val="16"/>
      </w:rPr>
      <w:t>, Danmark |</w:t>
    </w:r>
    <w:r w:rsidR="00734BF1" w:rsidRPr="00734BF1">
      <w:rPr>
        <w:rFonts w:ascii="Arial" w:hAnsi="Arial" w:cs="Arial"/>
        <w:sz w:val="16"/>
        <w:szCs w:val="16"/>
      </w:rPr>
      <w:t xml:space="preserve"> </w:t>
    </w:r>
    <w:r w:rsidR="002177E9" w:rsidRPr="002177E9">
      <w:rPr>
        <w:rFonts w:ascii="Arial" w:hAnsi="Arial" w:cs="Arial"/>
        <w:sz w:val="16"/>
        <w:szCs w:val="16"/>
      </w:rPr>
      <w:t xml:space="preserve">NO-LEBRI-2400007 </w:t>
    </w:r>
    <w:r w:rsidR="00A15F5C">
      <w:rPr>
        <w:rFonts w:ascii="Arial" w:hAnsi="Arial" w:cs="Arial"/>
        <w:sz w:val="16"/>
        <w:szCs w:val="16"/>
      </w:rPr>
      <w:t>|</w:t>
    </w:r>
    <w:r w:rsidRPr="00D70D1C">
      <w:rPr>
        <w:rFonts w:ascii="Arial" w:hAnsi="Arial" w:cs="Arial"/>
        <w:sz w:val="16"/>
        <w:szCs w:val="16"/>
      </w:rPr>
      <w:t xml:space="preserve"> created </w:t>
    </w:r>
    <w:r w:rsidR="00E34AA3">
      <w:rPr>
        <w:rFonts w:ascii="Arial" w:hAnsi="Arial" w:cs="Arial"/>
        <w:sz w:val="16"/>
        <w:szCs w:val="16"/>
      </w:rPr>
      <w:t>Jan</w:t>
    </w:r>
    <w:r w:rsidRPr="00D70D1C">
      <w:rPr>
        <w:rFonts w:ascii="Arial" w:hAnsi="Arial" w:cs="Arial"/>
        <w:sz w:val="16"/>
        <w:szCs w:val="16"/>
      </w:rPr>
      <w:t>. 202</w:t>
    </w:r>
    <w:r w:rsidR="00E34AA3">
      <w:rPr>
        <w:rFonts w:ascii="Arial" w:hAnsi="Arial" w:cs="Arial"/>
        <w:sz w:val="16"/>
        <w:szCs w:val="16"/>
      </w:rPr>
      <w:t>4</w:t>
    </w:r>
    <w:r w:rsidR="00A15F5C">
      <w:rPr>
        <w:rFonts w:ascii="Arial" w:hAnsi="Arial" w:cs="Arial"/>
        <w:sz w:val="16"/>
        <w:szCs w:val="16"/>
      </w:rPr>
      <w:t xml:space="preserve"> </w:t>
    </w:r>
    <w:r w:rsidR="002177E9">
      <w:rPr>
        <w:rFonts w:ascii="Arial" w:hAnsi="Arial" w:cs="Arial"/>
        <w:sz w:val="16"/>
        <w:szCs w:val="16"/>
      </w:rPr>
      <w:t>(rev. Apr. 2024)</w:t>
    </w:r>
    <w:r w:rsidR="00A15F5C">
      <w:rPr>
        <w:rFonts w:ascii="Arial" w:hAnsi="Arial" w:cs="Arial"/>
        <w:sz w:val="16"/>
        <w:szCs w:val="16"/>
      </w:rPr>
      <w:t xml:space="preserve"> </w:t>
    </w:r>
    <w:r w:rsidR="00734BF1">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AE8D" w14:textId="77777777" w:rsidR="00FD39FE" w:rsidRDefault="00FD39FE" w:rsidP="00D70D1C">
      <w:pPr>
        <w:spacing w:after="0" w:line="240" w:lineRule="auto"/>
      </w:pPr>
      <w:r>
        <w:separator/>
      </w:r>
    </w:p>
  </w:footnote>
  <w:footnote w:type="continuationSeparator" w:id="0">
    <w:p w14:paraId="7793FB0F" w14:textId="77777777" w:rsidR="00FD39FE" w:rsidRDefault="00FD39FE" w:rsidP="00D70D1C">
      <w:pPr>
        <w:spacing w:after="0" w:line="240" w:lineRule="auto"/>
      </w:pPr>
      <w:r>
        <w:continuationSeparator/>
      </w:r>
    </w:p>
  </w:footnote>
  <w:footnote w:type="continuationNotice" w:id="1">
    <w:p w14:paraId="17A07B6C" w14:textId="77777777" w:rsidR="00FD39FE" w:rsidRDefault="00FD3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9F4" w14:textId="0356C69A" w:rsidR="00D70D1C" w:rsidRDefault="00D70D1C">
    <w:pPr>
      <w:pStyle w:val="Header"/>
    </w:pPr>
    <w:r>
      <w:rPr>
        <w:noProof/>
      </w:rPr>
      <mc:AlternateContent>
        <mc:Choice Requires="wps">
          <w:drawing>
            <wp:anchor distT="0" distB="0" distL="0" distR="0" simplePos="0" relativeHeight="251658242" behindDoc="0" locked="0" layoutInCell="1" allowOverlap="1" wp14:anchorId="330DA516" wp14:editId="5ADE6CCC">
              <wp:simplePos x="635" y="635"/>
              <wp:positionH relativeFrom="page">
                <wp:align>right</wp:align>
              </wp:positionH>
              <wp:positionV relativeFrom="page">
                <wp:align>top</wp:align>
              </wp:positionV>
              <wp:extent cx="443865" cy="443865"/>
              <wp:effectExtent l="0" t="0" r="0" b="4445"/>
              <wp:wrapNone/>
              <wp:docPr id="1384652276"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5DA81" w14:textId="310C796E" w:rsidR="00D70D1C" w:rsidRPr="00D70D1C" w:rsidRDefault="00D70D1C" w:rsidP="00D70D1C">
                          <w:pPr>
                            <w:spacing w:after="0"/>
                            <w:rPr>
                              <w:rFonts w:ascii="Calibri" w:eastAsia="Calibri" w:hAnsi="Calibri" w:cs="Calibri"/>
                              <w:noProof/>
                              <w:color w:val="000000"/>
                              <w:sz w:val="20"/>
                              <w:szCs w:val="20"/>
                            </w:rPr>
                          </w:pPr>
                          <w:r w:rsidRPr="00D70D1C">
                            <w:rPr>
                              <w:rFonts w:ascii="Calibri" w:eastAsia="Calibri" w:hAnsi="Calibri" w:cs="Calibri"/>
                              <w:noProof/>
                              <w:color w:val="000000"/>
                              <w:sz w:val="20"/>
                              <w:szCs w:val="20"/>
                            </w:rPr>
                            <w:t>INTERNAL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0DA516" id="_x0000_t202" coordsize="21600,21600" o:spt="202" path="m,l,21600r21600,l21600,xe">
              <v:stroke joinstyle="miter"/>
              <v:path gradientshapeok="t" o:connecttype="rect"/>
            </v:shapetype>
            <v:shape id="Text Box 4" o:spid="_x0000_s1026" type="#_x0000_t202" alt="INTERNAL USE"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435DA81" w14:textId="310C796E" w:rsidR="00D70D1C" w:rsidRPr="00D70D1C" w:rsidRDefault="00D70D1C" w:rsidP="00D70D1C">
                    <w:pPr>
                      <w:spacing w:after="0"/>
                      <w:rPr>
                        <w:rFonts w:ascii="Calibri" w:eastAsia="Calibri" w:hAnsi="Calibri" w:cs="Calibri"/>
                        <w:noProof/>
                        <w:color w:val="000000"/>
                        <w:sz w:val="20"/>
                        <w:szCs w:val="20"/>
                      </w:rPr>
                    </w:pPr>
                    <w:r w:rsidRPr="00D70D1C">
                      <w:rPr>
                        <w:rFonts w:ascii="Calibri" w:eastAsia="Calibri" w:hAnsi="Calibri" w:cs="Calibri"/>
                        <w:noProof/>
                        <w:color w:val="000000"/>
                        <w:sz w:val="20"/>
                        <w:szCs w:val="20"/>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8C3D" w14:textId="7F1F6FC4" w:rsidR="00D70D1C" w:rsidRDefault="00D70D1C">
    <w:pPr>
      <w:pStyle w:val="Header"/>
    </w:pPr>
    <w:r>
      <w:rPr>
        <w:noProof/>
      </w:rPr>
      <mc:AlternateContent>
        <mc:Choice Requires="wps">
          <w:drawing>
            <wp:anchor distT="0" distB="0" distL="0" distR="0" simplePos="0" relativeHeight="251658241" behindDoc="0" locked="0" layoutInCell="1" allowOverlap="1" wp14:anchorId="740FA7FD" wp14:editId="3B0E0458">
              <wp:simplePos x="635" y="635"/>
              <wp:positionH relativeFrom="page">
                <wp:align>right</wp:align>
              </wp:positionH>
              <wp:positionV relativeFrom="page">
                <wp:align>top</wp:align>
              </wp:positionV>
              <wp:extent cx="443865" cy="443865"/>
              <wp:effectExtent l="0" t="0" r="0" b="4445"/>
              <wp:wrapNone/>
              <wp:docPr id="256436515"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84B50" w14:textId="47DE4734" w:rsidR="00D70D1C" w:rsidRPr="00D70D1C" w:rsidRDefault="00D70D1C" w:rsidP="00D70D1C">
                          <w:pPr>
                            <w:spacing w:after="0"/>
                            <w:rPr>
                              <w:rFonts w:ascii="Calibri" w:eastAsia="Calibri" w:hAnsi="Calibri" w:cs="Calibri"/>
                              <w:noProof/>
                              <w:color w:val="000000"/>
                              <w:sz w:val="20"/>
                              <w:szCs w:val="20"/>
                            </w:rPr>
                          </w:pPr>
                          <w:r w:rsidRPr="00D70D1C">
                            <w:rPr>
                              <w:rFonts w:ascii="Calibri" w:eastAsia="Calibri" w:hAnsi="Calibri" w:cs="Calibri"/>
                              <w:noProof/>
                              <w:color w:val="000000"/>
                              <w:sz w:val="20"/>
                              <w:szCs w:val="20"/>
                            </w:rPr>
                            <w:t>INTERNAL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0FA7FD" id="_x0000_t202" coordsize="21600,21600" o:spt="202" path="m,l,21600r21600,l21600,xe">
              <v:stroke joinstyle="miter"/>
              <v:path gradientshapeok="t" o:connecttype="rect"/>
            </v:shapetype>
            <v:shape id="Text Box 3" o:spid="_x0000_s1027" type="#_x0000_t202" alt="INTERNAL USE"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F284B50" w14:textId="47DE4734" w:rsidR="00D70D1C" w:rsidRPr="00D70D1C" w:rsidRDefault="00D70D1C" w:rsidP="00D70D1C">
                    <w:pPr>
                      <w:spacing w:after="0"/>
                      <w:rPr>
                        <w:rFonts w:ascii="Calibri" w:eastAsia="Calibri" w:hAnsi="Calibri" w:cs="Calibri"/>
                        <w:noProof/>
                        <w:color w:val="000000"/>
                        <w:sz w:val="20"/>
                        <w:szCs w:val="20"/>
                      </w:rPr>
                    </w:pPr>
                    <w:r w:rsidRPr="00D70D1C">
                      <w:rPr>
                        <w:rFonts w:ascii="Calibri" w:eastAsia="Calibri" w:hAnsi="Calibri" w:cs="Calibri"/>
                        <w:noProof/>
                        <w:color w:val="000000"/>
                        <w:sz w:val="20"/>
                        <w:szCs w:val="20"/>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427"/>
    <w:multiLevelType w:val="hybridMultilevel"/>
    <w:tmpl w:val="B90EF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72644FA"/>
    <w:multiLevelType w:val="hybridMultilevel"/>
    <w:tmpl w:val="CCDCA0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72957956">
    <w:abstractNumId w:val="1"/>
  </w:num>
  <w:num w:numId="2" w16cid:durableId="151533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1C"/>
    <w:rsid w:val="00033E75"/>
    <w:rsid w:val="00060E80"/>
    <w:rsid w:val="00067195"/>
    <w:rsid w:val="000702D9"/>
    <w:rsid w:val="00070880"/>
    <w:rsid w:val="00077CC2"/>
    <w:rsid w:val="00082211"/>
    <w:rsid w:val="00083408"/>
    <w:rsid w:val="00095986"/>
    <w:rsid w:val="000B42ED"/>
    <w:rsid w:val="000B43B4"/>
    <w:rsid w:val="000C1FC6"/>
    <w:rsid w:val="000C310E"/>
    <w:rsid w:val="000E313A"/>
    <w:rsid w:val="001021F1"/>
    <w:rsid w:val="00102F3C"/>
    <w:rsid w:val="0011625F"/>
    <w:rsid w:val="00123A94"/>
    <w:rsid w:val="001274AE"/>
    <w:rsid w:val="00142B47"/>
    <w:rsid w:val="001458C0"/>
    <w:rsid w:val="0017456A"/>
    <w:rsid w:val="00185455"/>
    <w:rsid w:val="00186FA5"/>
    <w:rsid w:val="001918EC"/>
    <w:rsid w:val="001A5F20"/>
    <w:rsid w:val="001B3114"/>
    <w:rsid w:val="001C38AA"/>
    <w:rsid w:val="001E1F80"/>
    <w:rsid w:val="001F10E8"/>
    <w:rsid w:val="001F2364"/>
    <w:rsid w:val="001F752A"/>
    <w:rsid w:val="00206170"/>
    <w:rsid w:val="00210E55"/>
    <w:rsid w:val="002177E9"/>
    <w:rsid w:val="002179C1"/>
    <w:rsid w:val="00222DAA"/>
    <w:rsid w:val="00225C69"/>
    <w:rsid w:val="00231BEA"/>
    <w:rsid w:val="00232AD0"/>
    <w:rsid w:val="00241C25"/>
    <w:rsid w:val="00243ED9"/>
    <w:rsid w:val="00255E7B"/>
    <w:rsid w:val="002601F9"/>
    <w:rsid w:val="002671F0"/>
    <w:rsid w:val="002754C2"/>
    <w:rsid w:val="00276C7B"/>
    <w:rsid w:val="00283989"/>
    <w:rsid w:val="00287699"/>
    <w:rsid w:val="00290D16"/>
    <w:rsid w:val="00297E02"/>
    <w:rsid w:val="002A6F9C"/>
    <w:rsid w:val="002A7518"/>
    <w:rsid w:val="002B0C51"/>
    <w:rsid w:val="002B141C"/>
    <w:rsid w:val="002B3553"/>
    <w:rsid w:val="002B3D18"/>
    <w:rsid w:val="002C0390"/>
    <w:rsid w:val="002C5097"/>
    <w:rsid w:val="002D4524"/>
    <w:rsid w:val="002D5144"/>
    <w:rsid w:val="002E5988"/>
    <w:rsid w:val="003055C7"/>
    <w:rsid w:val="00312179"/>
    <w:rsid w:val="00354867"/>
    <w:rsid w:val="003645DE"/>
    <w:rsid w:val="00366972"/>
    <w:rsid w:val="003719C1"/>
    <w:rsid w:val="00384F69"/>
    <w:rsid w:val="0038529F"/>
    <w:rsid w:val="003A1631"/>
    <w:rsid w:val="003A3ED4"/>
    <w:rsid w:val="003A6C93"/>
    <w:rsid w:val="003B09A6"/>
    <w:rsid w:val="003B5AA1"/>
    <w:rsid w:val="003D35F5"/>
    <w:rsid w:val="003D59C6"/>
    <w:rsid w:val="003E4854"/>
    <w:rsid w:val="003F069B"/>
    <w:rsid w:val="003F5647"/>
    <w:rsid w:val="004100D0"/>
    <w:rsid w:val="00410369"/>
    <w:rsid w:val="00423BA1"/>
    <w:rsid w:val="00437B31"/>
    <w:rsid w:val="004414CC"/>
    <w:rsid w:val="00463E9A"/>
    <w:rsid w:val="00463ED8"/>
    <w:rsid w:val="00465C27"/>
    <w:rsid w:val="004669EF"/>
    <w:rsid w:val="00466F12"/>
    <w:rsid w:val="00470C65"/>
    <w:rsid w:val="00493E99"/>
    <w:rsid w:val="004A4633"/>
    <w:rsid w:val="004A596E"/>
    <w:rsid w:val="004B1DDA"/>
    <w:rsid w:val="004B4460"/>
    <w:rsid w:val="004B5A20"/>
    <w:rsid w:val="004C5ADC"/>
    <w:rsid w:val="004C7518"/>
    <w:rsid w:val="004E5737"/>
    <w:rsid w:val="004F4F2F"/>
    <w:rsid w:val="004F55F5"/>
    <w:rsid w:val="00500733"/>
    <w:rsid w:val="00532008"/>
    <w:rsid w:val="00534838"/>
    <w:rsid w:val="00565082"/>
    <w:rsid w:val="005802AE"/>
    <w:rsid w:val="0058141D"/>
    <w:rsid w:val="005911A2"/>
    <w:rsid w:val="005956C3"/>
    <w:rsid w:val="005A2EBB"/>
    <w:rsid w:val="005A4B7A"/>
    <w:rsid w:val="005B0319"/>
    <w:rsid w:val="005B167C"/>
    <w:rsid w:val="005B3D89"/>
    <w:rsid w:val="005B7D8A"/>
    <w:rsid w:val="005D3EDD"/>
    <w:rsid w:val="005D4158"/>
    <w:rsid w:val="005D63F6"/>
    <w:rsid w:val="005D77E2"/>
    <w:rsid w:val="005E33A5"/>
    <w:rsid w:val="005E7F39"/>
    <w:rsid w:val="005F2733"/>
    <w:rsid w:val="005F5655"/>
    <w:rsid w:val="005F6E5B"/>
    <w:rsid w:val="00601DA8"/>
    <w:rsid w:val="00602464"/>
    <w:rsid w:val="006044C0"/>
    <w:rsid w:val="00606B87"/>
    <w:rsid w:val="00610900"/>
    <w:rsid w:val="00612763"/>
    <w:rsid w:val="006164C8"/>
    <w:rsid w:val="00617998"/>
    <w:rsid w:val="00642E1E"/>
    <w:rsid w:val="00644EC9"/>
    <w:rsid w:val="00647C8F"/>
    <w:rsid w:val="00653108"/>
    <w:rsid w:val="00654106"/>
    <w:rsid w:val="00660BF7"/>
    <w:rsid w:val="006743F8"/>
    <w:rsid w:val="00682DB9"/>
    <w:rsid w:val="006A42D5"/>
    <w:rsid w:val="006B21F2"/>
    <w:rsid w:val="006C27A5"/>
    <w:rsid w:val="006C42D1"/>
    <w:rsid w:val="006C4BA8"/>
    <w:rsid w:val="006E464A"/>
    <w:rsid w:val="006F1366"/>
    <w:rsid w:val="006F272B"/>
    <w:rsid w:val="006F7C21"/>
    <w:rsid w:val="0070136B"/>
    <w:rsid w:val="00703DBA"/>
    <w:rsid w:val="00722799"/>
    <w:rsid w:val="007227BE"/>
    <w:rsid w:val="00725871"/>
    <w:rsid w:val="0072597D"/>
    <w:rsid w:val="0073268D"/>
    <w:rsid w:val="00734BF1"/>
    <w:rsid w:val="00742A01"/>
    <w:rsid w:val="0074504D"/>
    <w:rsid w:val="0074514F"/>
    <w:rsid w:val="00753883"/>
    <w:rsid w:val="0075761F"/>
    <w:rsid w:val="0076199B"/>
    <w:rsid w:val="007738E7"/>
    <w:rsid w:val="00781757"/>
    <w:rsid w:val="00787323"/>
    <w:rsid w:val="007922B0"/>
    <w:rsid w:val="007962F9"/>
    <w:rsid w:val="007B49E2"/>
    <w:rsid w:val="007E0F65"/>
    <w:rsid w:val="007F2FA8"/>
    <w:rsid w:val="00800EF1"/>
    <w:rsid w:val="00815598"/>
    <w:rsid w:val="00826C19"/>
    <w:rsid w:val="00833110"/>
    <w:rsid w:val="00841E97"/>
    <w:rsid w:val="00851E8C"/>
    <w:rsid w:val="00860860"/>
    <w:rsid w:val="00860A7F"/>
    <w:rsid w:val="00893F95"/>
    <w:rsid w:val="008951E1"/>
    <w:rsid w:val="008A2280"/>
    <w:rsid w:val="008A37F5"/>
    <w:rsid w:val="008B0D1C"/>
    <w:rsid w:val="008C135E"/>
    <w:rsid w:val="008C1BE1"/>
    <w:rsid w:val="008E67FD"/>
    <w:rsid w:val="008F4B44"/>
    <w:rsid w:val="00900981"/>
    <w:rsid w:val="00912FE5"/>
    <w:rsid w:val="0091599B"/>
    <w:rsid w:val="00930327"/>
    <w:rsid w:val="00953A15"/>
    <w:rsid w:val="00966875"/>
    <w:rsid w:val="00973026"/>
    <w:rsid w:val="00976C06"/>
    <w:rsid w:val="0098723F"/>
    <w:rsid w:val="00993BBA"/>
    <w:rsid w:val="009B1F69"/>
    <w:rsid w:val="009B687A"/>
    <w:rsid w:val="009D3417"/>
    <w:rsid w:val="009E56DB"/>
    <w:rsid w:val="009F51D3"/>
    <w:rsid w:val="009F5587"/>
    <w:rsid w:val="009F6C20"/>
    <w:rsid w:val="009F7DFB"/>
    <w:rsid w:val="00A07AF0"/>
    <w:rsid w:val="00A10663"/>
    <w:rsid w:val="00A14FF6"/>
    <w:rsid w:val="00A152DA"/>
    <w:rsid w:val="00A15F5C"/>
    <w:rsid w:val="00A16E34"/>
    <w:rsid w:val="00A21615"/>
    <w:rsid w:val="00A348FF"/>
    <w:rsid w:val="00A4684D"/>
    <w:rsid w:val="00A565AC"/>
    <w:rsid w:val="00A5709C"/>
    <w:rsid w:val="00A617E7"/>
    <w:rsid w:val="00A77032"/>
    <w:rsid w:val="00A77F3F"/>
    <w:rsid w:val="00A921A4"/>
    <w:rsid w:val="00A94722"/>
    <w:rsid w:val="00A964F9"/>
    <w:rsid w:val="00AA4CFE"/>
    <w:rsid w:val="00AA5B99"/>
    <w:rsid w:val="00AC385F"/>
    <w:rsid w:val="00AC3A3B"/>
    <w:rsid w:val="00AC42B9"/>
    <w:rsid w:val="00AC687E"/>
    <w:rsid w:val="00AE36E2"/>
    <w:rsid w:val="00AF3851"/>
    <w:rsid w:val="00AF6074"/>
    <w:rsid w:val="00B00657"/>
    <w:rsid w:val="00B04E1B"/>
    <w:rsid w:val="00B04FE8"/>
    <w:rsid w:val="00B067D9"/>
    <w:rsid w:val="00B06C17"/>
    <w:rsid w:val="00B101A3"/>
    <w:rsid w:val="00B23A09"/>
    <w:rsid w:val="00B2777D"/>
    <w:rsid w:val="00B35B1F"/>
    <w:rsid w:val="00B5304D"/>
    <w:rsid w:val="00B6787A"/>
    <w:rsid w:val="00B70BF9"/>
    <w:rsid w:val="00B74333"/>
    <w:rsid w:val="00B815E4"/>
    <w:rsid w:val="00BA2D93"/>
    <w:rsid w:val="00BA6172"/>
    <w:rsid w:val="00BB102F"/>
    <w:rsid w:val="00BC340F"/>
    <w:rsid w:val="00BD29AB"/>
    <w:rsid w:val="00BD5C94"/>
    <w:rsid w:val="00BD6105"/>
    <w:rsid w:val="00BE0435"/>
    <w:rsid w:val="00BE5C41"/>
    <w:rsid w:val="00BF2B40"/>
    <w:rsid w:val="00BF338A"/>
    <w:rsid w:val="00BF4EF7"/>
    <w:rsid w:val="00C05204"/>
    <w:rsid w:val="00C220D0"/>
    <w:rsid w:val="00C22F68"/>
    <w:rsid w:val="00C24806"/>
    <w:rsid w:val="00C37472"/>
    <w:rsid w:val="00C37EB1"/>
    <w:rsid w:val="00C451BD"/>
    <w:rsid w:val="00C537DF"/>
    <w:rsid w:val="00C566D7"/>
    <w:rsid w:val="00C61C49"/>
    <w:rsid w:val="00C63080"/>
    <w:rsid w:val="00C8256E"/>
    <w:rsid w:val="00C870B3"/>
    <w:rsid w:val="00C93EDA"/>
    <w:rsid w:val="00CA74A4"/>
    <w:rsid w:val="00CB62D5"/>
    <w:rsid w:val="00CE77AE"/>
    <w:rsid w:val="00CF633C"/>
    <w:rsid w:val="00D17B5B"/>
    <w:rsid w:val="00D20598"/>
    <w:rsid w:val="00D30F94"/>
    <w:rsid w:val="00D3179D"/>
    <w:rsid w:val="00D3489D"/>
    <w:rsid w:val="00D43E66"/>
    <w:rsid w:val="00D47E90"/>
    <w:rsid w:val="00D55E3F"/>
    <w:rsid w:val="00D623A5"/>
    <w:rsid w:val="00D62F7C"/>
    <w:rsid w:val="00D640D9"/>
    <w:rsid w:val="00D67EA3"/>
    <w:rsid w:val="00D70D1C"/>
    <w:rsid w:val="00D8161B"/>
    <w:rsid w:val="00D96465"/>
    <w:rsid w:val="00D9793C"/>
    <w:rsid w:val="00DA1AED"/>
    <w:rsid w:val="00DA2D43"/>
    <w:rsid w:val="00DA6209"/>
    <w:rsid w:val="00DB6FC2"/>
    <w:rsid w:val="00DC2247"/>
    <w:rsid w:val="00DD5B52"/>
    <w:rsid w:val="00DE186C"/>
    <w:rsid w:val="00DE2724"/>
    <w:rsid w:val="00DE3D62"/>
    <w:rsid w:val="00DF4ED1"/>
    <w:rsid w:val="00E0293A"/>
    <w:rsid w:val="00E05321"/>
    <w:rsid w:val="00E12487"/>
    <w:rsid w:val="00E140F7"/>
    <w:rsid w:val="00E21A33"/>
    <w:rsid w:val="00E2765B"/>
    <w:rsid w:val="00E34AA3"/>
    <w:rsid w:val="00E43C94"/>
    <w:rsid w:val="00E44D16"/>
    <w:rsid w:val="00E46140"/>
    <w:rsid w:val="00E4664F"/>
    <w:rsid w:val="00E476CC"/>
    <w:rsid w:val="00E50F14"/>
    <w:rsid w:val="00E62129"/>
    <w:rsid w:val="00E757E8"/>
    <w:rsid w:val="00E77633"/>
    <w:rsid w:val="00E83B48"/>
    <w:rsid w:val="00E86D6B"/>
    <w:rsid w:val="00EA01BF"/>
    <w:rsid w:val="00EA0320"/>
    <w:rsid w:val="00EA73C3"/>
    <w:rsid w:val="00EB5830"/>
    <w:rsid w:val="00ED0875"/>
    <w:rsid w:val="00ED3642"/>
    <w:rsid w:val="00ED48ED"/>
    <w:rsid w:val="00EE4BA0"/>
    <w:rsid w:val="00EF53FC"/>
    <w:rsid w:val="00F002E9"/>
    <w:rsid w:val="00F12CE0"/>
    <w:rsid w:val="00F147C1"/>
    <w:rsid w:val="00F3320F"/>
    <w:rsid w:val="00F44F9D"/>
    <w:rsid w:val="00F47E03"/>
    <w:rsid w:val="00F608B7"/>
    <w:rsid w:val="00F83373"/>
    <w:rsid w:val="00FA2BF5"/>
    <w:rsid w:val="00FA3B68"/>
    <w:rsid w:val="00FA5B2E"/>
    <w:rsid w:val="00FB632C"/>
    <w:rsid w:val="00FD39FE"/>
    <w:rsid w:val="00FD5C44"/>
    <w:rsid w:val="00FE08B8"/>
    <w:rsid w:val="00FE5244"/>
    <w:rsid w:val="00FE6E9A"/>
    <w:rsid w:val="00FE765C"/>
    <w:rsid w:val="00FF7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CEF9F"/>
  <w15:chartTrackingRefBased/>
  <w15:docId w15:val="{EC271FAE-291E-469F-A206-7D90EE2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D1C"/>
    <w:pPr>
      <w:spacing w:after="0" w:line="240" w:lineRule="auto"/>
    </w:pPr>
  </w:style>
  <w:style w:type="table" w:styleId="TableGrid">
    <w:name w:val="Table Grid"/>
    <w:basedOn w:val="TableNormal"/>
    <w:uiPriority w:val="39"/>
    <w:rsid w:val="00D7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D1C"/>
  </w:style>
  <w:style w:type="paragraph" w:styleId="Footer">
    <w:name w:val="footer"/>
    <w:basedOn w:val="Normal"/>
    <w:link w:val="FooterChar"/>
    <w:uiPriority w:val="99"/>
    <w:unhideWhenUsed/>
    <w:rsid w:val="00D7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D1C"/>
  </w:style>
  <w:style w:type="character" w:styleId="Hyperlink">
    <w:name w:val="Hyperlink"/>
    <w:basedOn w:val="DefaultParagraphFont"/>
    <w:uiPriority w:val="99"/>
    <w:unhideWhenUsed/>
    <w:rsid w:val="0017456A"/>
    <w:rPr>
      <w:color w:val="0563C1" w:themeColor="hyperlink"/>
      <w:u w:val="single"/>
    </w:rPr>
  </w:style>
  <w:style w:type="character" w:styleId="UnresolvedMention">
    <w:name w:val="Unresolved Mention"/>
    <w:basedOn w:val="DefaultParagraphFont"/>
    <w:uiPriority w:val="99"/>
    <w:semiHidden/>
    <w:unhideWhenUsed/>
    <w:rsid w:val="0017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9142">
      <w:bodyDiv w:val="1"/>
      <w:marLeft w:val="0"/>
      <w:marRight w:val="0"/>
      <w:marTop w:val="0"/>
      <w:marBottom w:val="0"/>
      <w:divBdr>
        <w:top w:val="none" w:sz="0" w:space="0" w:color="auto"/>
        <w:left w:val="none" w:sz="0" w:space="0" w:color="auto"/>
        <w:bottom w:val="none" w:sz="0" w:space="0" w:color="auto"/>
        <w:right w:val="none" w:sz="0" w:space="0" w:color="auto"/>
      </w:divBdr>
    </w:div>
    <w:div w:id="1334994924">
      <w:bodyDiv w:val="1"/>
      <w:marLeft w:val="0"/>
      <w:marRight w:val="0"/>
      <w:marTop w:val="0"/>
      <w:marBottom w:val="0"/>
      <w:divBdr>
        <w:top w:val="none" w:sz="0" w:space="0" w:color="auto"/>
        <w:left w:val="none" w:sz="0" w:space="0" w:color="auto"/>
        <w:bottom w:val="none" w:sz="0" w:space="0" w:color="auto"/>
        <w:right w:val="none" w:sz="0" w:space="0" w:color="auto"/>
      </w:divBdr>
    </w:div>
    <w:div w:id="1461922807">
      <w:bodyDiv w:val="1"/>
      <w:marLeft w:val="0"/>
      <w:marRight w:val="0"/>
      <w:marTop w:val="0"/>
      <w:marBottom w:val="0"/>
      <w:divBdr>
        <w:top w:val="none" w:sz="0" w:space="0" w:color="auto"/>
        <w:left w:val="none" w:sz="0" w:space="0" w:color="auto"/>
        <w:bottom w:val="none" w:sz="0" w:space="0" w:color="auto"/>
        <w:right w:val="none" w:sz="0" w:space="0" w:color="auto"/>
      </w:divBdr>
    </w:div>
    <w:div w:id="20861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elisabethhjardem.taudorf@almiral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ntonio.sarno@almiral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6607926202E44A8C699A2304C51D1" ma:contentTypeVersion="18" ma:contentTypeDescription="Create a new document." ma:contentTypeScope="" ma:versionID="6e939279c6f466153b1392410b9ae299">
  <xsd:schema xmlns:xsd="http://www.w3.org/2001/XMLSchema" xmlns:xs="http://www.w3.org/2001/XMLSchema" xmlns:p="http://schemas.microsoft.com/office/2006/metadata/properties" xmlns:ns2="adb3c9aa-4fcf-451e-8aa3-14b3e7081995" xmlns:ns3="8d54a649-81e9-420a-9c9a-72e4231ba69b" targetNamespace="http://schemas.microsoft.com/office/2006/metadata/properties" ma:root="true" ma:fieldsID="e5a19ec557ec8a2230b788525f71ccab" ns2:_="" ns3:_="">
    <xsd:import namespace="adb3c9aa-4fcf-451e-8aa3-14b3e7081995"/>
    <xsd:import namespace="8d54a649-81e9-420a-9c9a-72e4231ba69b"/>
    <xsd:element name="properties">
      <xsd:complexType>
        <xsd:sequence>
          <xsd:element name="documentManagement">
            <xsd:complexType>
              <xsd:all>
                <xsd:element ref="ns2:IsPublic" minOccurs="0"/>
                <xsd:element ref="ns2:PublishedVersion" minOccurs="0"/>
                <xsd:element ref="ns2:Destina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c9aa-4fcf-451e-8aa3-14b3e7081995" elementFormDefault="qualified">
    <xsd:import namespace="http://schemas.microsoft.com/office/2006/documentManagement/types"/>
    <xsd:import namespace="http://schemas.microsoft.com/office/infopath/2007/PartnerControls"/>
    <xsd:element name="IsPublic" ma:index="8" nillable="true" ma:displayName="IsPublic" ma:description="IsPublic" ma:indexed="true" ma:internalName="IsPublic">
      <xsd:simpleType>
        <xsd:restriction base="dms:Boolean"/>
      </xsd:simpleType>
    </xsd:element>
    <xsd:element name="PublishedVersion" ma:index="9" nillable="true" ma:displayName="PublishedVersion" ma:description="PublishedVersion" ma:hidden="true" ma:indexed="true" ma:internalName="PublishedVersion">
      <xsd:simpleType>
        <xsd:restriction base="dms:Text">
          <xsd:maxLength value="255"/>
        </xsd:restriction>
      </xsd:simpleType>
    </xsd:element>
    <xsd:element name="Destination" ma:index="10" nillable="true" ma:displayName="Destination" ma:description="Destination" ma:hidden="true" ma:indexed="true" ma:internalName="Destina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48dffe-9731-4086-88fa-356309359c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4a649-81e9-420a-9c9a-72e4231ba6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97e6fe-23bf-480d-bd5b-818bd73d7de9}" ma:internalName="TaxCatchAll" ma:showField="CatchAllData" ma:web="8d54a649-81e9-420a-9c9a-72e4231ba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54a649-81e9-420a-9c9a-72e4231ba69b" xsi:nil="true"/>
    <IsPublic xmlns="adb3c9aa-4fcf-451e-8aa3-14b3e7081995" xsi:nil="true"/>
    <Destination xmlns="adb3c9aa-4fcf-451e-8aa3-14b3e7081995" xsi:nil="true"/>
    <lcf76f155ced4ddcb4097134ff3c332f xmlns="adb3c9aa-4fcf-451e-8aa3-14b3e7081995">
      <Terms xmlns="http://schemas.microsoft.com/office/infopath/2007/PartnerControls"/>
    </lcf76f155ced4ddcb4097134ff3c332f>
    <PublishedVersion xmlns="adb3c9aa-4fcf-451e-8aa3-14b3e70819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C352A-073D-4A4A-8825-11477B44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c9aa-4fcf-451e-8aa3-14b3e7081995"/>
    <ds:schemaRef ds:uri="8d54a649-81e9-420a-9c9a-72e4231b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34AB-0FD2-45AC-A9EF-868475A98D14}">
  <ds:schemaRefs>
    <ds:schemaRef ds:uri="http://schemas.microsoft.com/office/2006/metadata/properties"/>
    <ds:schemaRef ds:uri="http://schemas.microsoft.com/office/infopath/2007/PartnerControls"/>
    <ds:schemaRef ds:uri="8d54a649-81e9-420a-9c9a-72e4231ba69b"/>
    <ds:schemaRef ds:uri="adb3c9aa-4fcf-451e-8aa3-14b3e7081995"/>
  </ds:schemaRefs>
</ds:datastoreItem>
</file>

<file path=customXml/itemProps3.xml><?xml version="1.0" encoding="utf-8"?>
<ds:datastoreItem xmlns:ds="http://schemas.openxmlformats.org/officeDocument/2006/customXml" ds:itemID="{93C99AE9-C50A-4B63-9E91-8FD19DA90BD0}">
  <ds:schemaRefs>
    <ds:schemaRef ds:uri="http://schemas.openxmlformats.org/officeDocument/2006/bibliography"/>
  </ds:schemaRefs>
</ds:datastoreItem>
</file>

<file path=customXml/itemProps4.xml><?xml version="1.0" encoding="utf-8"?>
<ds:datastoreItem xmlns:ds="http://schemas.openxmlformats.org/officeDocument/2006/customXml" ds:itemID="{D902725A-5C8F-4261-83B6-D1A0784A5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8571</Characters>
  <Application>Microsoft Office Word</Application>
  <DocSecurity>0</DocSecurity>
  <Lines>71</Lines>
  <Paragraphs>20</Paragraphs>
  <ScaleCrop>false</ScaleCrop>
  <Company>Almirall</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Sarno</dc:creator>
  <cp:keywords/>
  <dc:description/>
  <cp:lastModifiedBy>Elisabeth Hjardem Taudorf</cp:lastModifiedBy>
  <cp:revision>13</cp:revision>
  <dcterms:created xsi:type="dcterms:W3CDTF">2024-05-06T10:41:00Z</dcterms:created>
  <dcterms:modified xsi:type="dcterms:W3CDTF">2024-05-06T10:56:00Z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f48e923,52881df4,4d5acf73</vt:lpwstr>
  </property>
  <property fmtid="{D5CDD505-2E9C-101B-9397-08002B2CF9AE}" pid="3" name="ClassificationContentMarkingHeaderFontProps">
    <vt:lpwstr>#000000,10,Calibri</vt:lpwstr>
  </property>
  <property fmtid="{D5CDD505-2E9C-101B-9397-08002B2CF9AE}" pid="4" name="ClassificationContentMarkingHeaderText">
    <vt:lpwstr>INTERNAL USE</vt:lpwstr>
  </property>
  <property fmtid="{D5CDD505-2E9C-101B-9397-08002B2CF9AE}" pid="5" name="MSIP_Label_533616b6-00a5-4cd1-b577-93208fa93eb1_Enabled">
    <vt:lpwstr>true</vt:lpwstr>
  </property>
  <property fmtid="{D5CDD505-2E9C-101B-9397-08002B2CF9AE}" pid="6" name="MSIP_Label_533616b6-00a5-4cd1-b577-93208fa93eb1_SetDate">
    <vt:lpwstr>2023-12-14T14:52:51Z</vt:lpwstr>
  </property>
  <property fmtid="{D5CDD505-2E9C-101B-9397-08002B2CF9AE}" pid="7" name="MSIP_Label_533616b6-00a5-4cd1-b577-93208fa93eb1_Method">
    <vt:lpwstr>Standard</vt:lpwstr>
  </property>
  <property fmtid="{D5CDD505-2E9C-101B-9397-08002B2CF9AE}" pid="8" name="MSIP_Label_533616b6-00a5-4cd1-b577-93208fa93eb1_Name">
    <vt:lpwstr>Internal Use</vt:lpwstr>
  </property>
  <property fmtid="{D5CDD505-2E9C-101B-9397-08002B2CF9AE}" pid="9" name="MSIP_Label_533616b6-00a5-4cd1-b577-93208fa93eb1_SiteId">
    <vt:lpwstr>342ace0e-1054-45ce-9b30-900fc0440b9d</vt:lpwstr>
  </property>
  <property fmtid="{D5CDD505-2E9C-101B-9397-08002B2CF9AE}" pid="10" name="MSIP_Label_533616b6-00a5-4cd1-b577-93208fa93eb1_ActionId">
    <vt:lpwstr>e6ea5d70-c37f-4312-9963-0575bf81bc0f</vt:lpwstr>
  </property>
  <property fmtid="{D5CDD505-2E9C-101B-9397-08002B2CF9AE}" pid="11" name="MSIP_Label_533616b6-00a5-4cd1-b577-93208fa93eb1_ContentBits">
    <vt:lpwstr>1</vt:lpwstr>
  </property>
  <property fmtid="{D5CDD505-2E9C-101B-9397-08002B2CF9AE}" pid="12" name="ContentTypeId">
    <vt:lpwstr>0x0101000016607926202E44A8C699A2304C51D1</vt:lpwstr>
  </property>
  <property fmtid="{D5CDD505-2E9C-101B-9397-08002B2CF9AE}" pid="13" name="MediaServiceImageTags">
    <vt:lpwstr/>
  </property>
</Properties>
</file>